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90648" w14:textId="302229A4" w:rsidR="0024641A" w:rsidRDefault="00715955" w:rsidP="0024641A">
      <w:pPr>
        <w:widowControl w:val="0"/>
        <w:autoSpaceDE w:val="0"/>
        <w:autoSpaceDN w:val="0"/>
        <w:adjustRightInd w:val="0"/>
        <w:ind w:left="720"/>
        <w:jc w:val="center"/>
        <w:rPr>
          <w:rFonts w:ascii="Maiandra GD" w:hAnsi="Maiandra GD"/>
          <w:b/>
          <w:szCs w:val="24"/>
        </w:rPr>
      </w:pPr>
      <w:r w:rsidRPr="001143FD">
        <w:rPr>
          <w:rFonts w:ascii="Maiandra GD" w:hAnsi="Maiandra GD"/>
          <w:b/>
          <w:noProof/>
          <w:szCs w:val="24"/>
        </w:rPr>
        <w:drawing>
          <wp:inline distT="0" distB="0" distL="0" distR="0" wp14:anchorId="0E8AEAD3" wp14:editId="11421B68">
            <wp:extent cx="1228725" cy="11715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1171575"/>
                    </a:xfrm>
                    <a:prstGeom prst="rect">
                      <a:avLst/>
                    </a:prstGeom>
                    <a:noFill/>
                  </pic:spPr>
                </pic:pic>
              </a:graphicData>
            </a:graphic>
          </wp:inline>
        </w:drawing>
      </w:r>
    </w:p>
    <w:p w14:paraId="3632D2E5" w14:textId="77777777" w:rsidR="0024641A" w:rsidRPr="001143FD" w:rsidRDefault="0024641A" w:rsidP="0024641A">
      <w:pPr>
        <w:widowControl w:val="0"/>
        <w:autoSpaceDE w:val="0"/>
        <w:autoSpaceDN w:val="0"/>
        <w:adjustRightInd w:val="0"/>
        <w:ind w:left="720"/>
        <w:jc w:val="center"/>
        <w:rPr>
          <w:rFonts w:ascii="Maiandra GD" w:hAnsi="Maiandra GD"/>
          <w:b/>
          <w:szCs w:val="24"/>
        </w:rPr>
      </w:pPr>
    </w:p>
    <w:p w14:paraId="56D173C1" w14:textId="77777777" w:rsidR="0024641A" w:rsidRPr="001143FD" w:rsidRDefault="0024641A" w:rsidP="0024641A">
      <w:pPr>
        <w:widowControl w:val="0"/>
        <w:autoSpaceDE w:val="0"/>
        <w:autoSpaceDN w:val="0"/>
        <w:adjustRightInd w:val="0"/>
        <w:ind w:left="720"/>
        <w:rPr>
          <w:rFonts w:ascii="Maiandra GD" w:hAnsi="Maiandra GD"/>
          <w:b/>
          <w:szCs w:val="24"/>
        </w:rPr>
      </w:pPr>
    </w:p>
    <w:p w14:paraId="3C52A7C7" w14:textId="77777777" w:rsidR="0024641A" w:rsidRPr="001143FD" w:rsidRDefault="0024641A" w:rsidP="0024641A">
      <w:pPr>
        <w:widowControl w:val="0"/>
        <w:autoSpaceDE w:val="0"/>
        <w:autoSpaceDN w:val="0"/>
        <w:adjustRightInd w:val="0"/>
        <w:ind w:left="720"/>
        <w:jc w:val="center"/>
        <w:rPr>
          <w:rFonts w:ascii="Maiandra GD" w:hAnsi="Maiandra GD"/>
          <w:b/>
          <w:szCs w:val="24"/>
        </w:rPr>
      </w:pPr>
      <w:r w:rsidRPr="001143FD">
        <w:rPr>
          <w:rFonts w:ascii="Maiandra GD" w:hAnsi="Maiandra GD"/>
          <w:b/>
          <w:szCs w:val="24"/>
        </w:rPr>
        <w:t>CONTRACT FOR GRANT</w:t>
      </w:r>
    </w:p>
    <w:p w14:paraId="49FB5003" w14:textId="77777777" w:rsidR="0024641A" w:rsidRPr="001143FD" w:rsidRDefault="0024641A" w:rsidP="0024641A">
      <w:pPr>
        <w:widowControl w:val="0"/>
        <w:autoSpaceDE w:val="0"/>
        <w:autoSpaceDN w:val="0"/>
        <w:adjustRightInd w:val="0"/>
        <w:ind w:left="720"/>
        <w:jc w:val="center"/>
        <w:rPr>
          <w:rFonts w:ascii="Maiandra GD" w:hAnsi="Maiandra GD"/>
          <w:b/>
          <w:szCs w:val="24"/>
        </w:rPr>
      </w:pPr>
    </w:p>
    <w:p w14:paraId="4939714F" w14:textId="77777777" w:rsidR="0024641A" w:rsidRPr="001143FD" w:rsidRDefault="0024641A" w:rsidP="0024641A">
      <w:pPr>
        <w:widowControl w:val="0"/>
        <w:autoSpaceDE w:val="0"/>
        <w:autoSpaceDN w:val="0"/>
        <w:adjustRightInd w:val="0"/>
        <w:ind w:left="720"/>
        <w:rPr>
          <w:rFonts w:ascii="Maiandra GD" w:hAnsi="Maiandra GD"/>
          <w:b/>
          <w:szCs w:val="24"/>
        </w:rPr>
      </w:pPr>
    </w:p>
    <w:p w14:paraId="3BBCC4F5" w14:textId="3C743E53" w:rsidR="0024641A" w:rsidRPr="00415BC1" w:rsidRDefault="00415BC1" w:rsidP="00415BC1">
      <w:pPr>
        <w:spacing w:before="225"/>
        <w:ind w:left="132" w:right="877"/>
        <w:jc w:val="center"/>
        <w:rPr>
          <w:rFonts w:ascii="Maiandra GD" w:hAnsi="Maiandra GD"/>
          <w:b/>
          <w:spacing w:val="-1"/>
          <w:sz w:val="32"/>
        </w:rPr>
      </w:pPr>
      <w:r w:rsidRPr="00415BC1">
        <w:rPr>
          <w:rFonts w:ascii="Maiandra GD" w:hAnsi="Maiandra GD"/>
          <w:b/>
          <w:spacing w:val="-1"/>
          <w:sz w:val="32"/>
        </w:rPr>
        <w:t>SADC HIV AND AIDS SPECIAL FUND</w:t>
      </w:r>
      <w:r>
        <w:rPr>
          <w:rFonts w:ascii="Maiandra GD" w:hAnsi="Maiandra GD"/>
          <w:b/>
          <w:spacing w:val="-1"/>
          <w:sz w:val="32"/>
        </w:rPr>
        <w:t>-</w:t>
      </w:r>
      <w:r w:rsidRPr="00415BC1">
        <w:rPr>
          <w:rFonts w:ascii="Maiandra GD" w:hAnsi="Maiandra GD"/>
          <w:b/>
          <w:spacing w:val="-1"/>
          <w:sz w:val="32"/>
        </w:rPr>
        <w:t>ROUND IV</w:t>
      </w:r>
      <w:r>
        <w:rPr>
          <w:rFonts w:ascii="Maiandra GD" w:hAnsi="Maiandra GD"/>
          <w:b/>
          <w:spacing w:val="-1"/>
          <w:sz w:val="32"/>
        </w:rPr>
        <w:t xml:space="preserve"> </w:t>
      </w:r>
    </w:p>
    <w:p w14:paraId="53DCBC00" w14:textId="77777777" w:rsidR="0024641A" w:rsidRPr="0024641A" w:rsidRDefault="0024641A" w:rsidP="0024641A">
      <w:pPr>
        <w:widowControl w:val="0"/>
        <w:autoSpaceDE w:val="0"/>
        <w:autoSpaceDN w:val="0"/>
        <w:adjustRightInd w:val="0"/>
        <w:ind w:left="720"/>
        <w:jc w:val="center"/>
        <w:rPr>
          <w:rFonts w:ascii="Maiandra GD" w:hAnsi="Maiandra GD"/>
          <w:b/>
          <w:szCs w:val="24"/>
        </w:rPr>
      </w:pPr>
    </w:p>
    <w:p w14:paraId="56253366" w14:textId="77777777" w:rsidR="0024641A" w:rsidRPr="0024641A" w:rsidRDefault="0024641A" w:rsidP="0024641A">
      <w:pPr>
        <w:widowControl w:val="0"/>
        <w:autoSpaceDE w:val="0"/>
        <w:autoSpaceDN w:val="0"/>
        <w:adjustRightInd w:val="0"/>
        <w:ind w:left="720"/>
        <w:jc w:val="center"/>
        <w:rPr>
          <w:rFonts w:ascii="Maiandra GD" w:hAnsi="Maiandra GD"/>
          <w:b/>
          <w:szCs w:val="24"/>
        </w:rPr>
      </w:pPr>
    </w:p>
    <w:p w14:paraId="6C31C35E" w14:textId="60C12C08" w:rsidR="0024641A" w:rsidRPr="0024641A" w:rsidRDefault="0024641A" w:rsidP="0024641A">
      <w:pPr>
        <w:widowControl w:val="0"/>
        <w:autoSpaceDE w:val="0"/>
        <w:autoSpaceDN w:val="0"/>
        <w:adjustRightInd w:val="0"/>
        <w:ind w:left="720"/>
        <w:jc w:val="center"/>
        <w:rPr>
          <w:rFonts w:ascii="Maiandra GD" w:hAnsi="Maiandra GD"/>
          <w:b/>
          <w:bCs/>
          <w:szCs w:val="24"/>
        </w:rPr>
      </w:pPr>
      <w:r w:rsidRPr="00ED2C0C">
        <w:rPr>
          <w:rFonts w:ascii="Maiandra GD" w:hAnsi="Maiandra GD"/>
          <w:b/>
          <w:bCs/>
          <w:szCs w:val="24"/>
        </w:rPr>
        <w:t>CONTRACT NUMBER:</w:t>
      </w:r>
      <w:r w:rsidRPr="00ED2C0C">
        <w:rPr>
          <w:rFonts w:ascii="Maiandra GD" w:hAnsi="Maiandra GD"/>
          <w:szCs w:val="24"/>
        </w:rPr>
        <w:t xml:space="preserve"> </w:t>
      </w:r>
      <w:r w:rsidR="00BF695D" w:rsidRPr="00BF695D">
        <w:rPr>
          <w:rFonts w:ascii="Maiandra GD" w:hAnsi="Maiandra GD"/>
          <w:szCs w:val="24"/>
        </w:rPr>
        <w:t>SADC/3/5/2/397</w:t>
      </w:r>
      <w:r w:rsidR="00BF695D">
        <w:rPr>
          <w:rFonts w:ascii="Maiandra GD" w:hAnsi="Maiandra GD"/>
          <w:szCs w:val="24"/>
        </w:rPr>
        <w:t xml:space="preserve"> </w:t>
      </w:r>
      <w:r w:rsidR="00ED2C0C" w:rsidRPr="00ED2C0C">
        <w:rPr>
          <w:rFonts w:ascii="Maiandra GD" w:hAnsi="Maiandra GD"/>
          <w:szCs w:val="24"/>
        </w:rPr>
        <w:t xml:space="preserve">                               </w:t>
      </w:r>
    </w:p>
    <w:p w14:paraId="4C20DBE4" w14:textId="77777777" w:rsidR="0024641A" w:rsidRPr="0024641A" w:rsidRDefault="0024641A" w:rsidP="0024641A">
      <w:pPr>
        <w:suppressAutoHyphens/>
        <w:ind w:left="720"/>
        <w:jc w:val="center"/>
        <w:rPr>
          <w:rFonts w:ascii="Maiandra GD" w:hAnsi="Maiandra GD"/>
          <w:szCs w:val="24"/>
        </w:rPr>
      </w:pPr>
    </w:p>
    <w:p w14:paraId="23A0A5A7" w14:textId="77777777" w:rsidR="0024641A" w:rsidRPr="0024641A" w:rsidRDefault="0024641A" w:rsidP="0024641A">
      <w:pPr>
        <w:suppressAutoHyphens/>
        <w:ind w:left="720"/>
        <w:jc w:val="center"/>
        <w:rPr>
          <w:rFonts w:ascii="Maiandra GD" w:hAnsi="Maiandra GD"/>
          <w:szCs w:val="24"/>
        </w:rPr>
      </w:pPr>
    </w:p>
    <w:p w14:paraId="64FFB9C1" w14:textId="77777777" w:rsidR="0024641A" w:rsidRPr="0024641A" w:rsidRDefault="0024641A" w:rsidP="0024641A">
      <w:pPr>
        <w:suppressAutoHyphens/>
        <w:ind w:left="720"/>
        <w:jc w:val="center"/>
        <w:rPr>
          <w:rFonts w:ascii="Maiandra GD" w:hAnsi="Maiandra GD"/>
          <w:b/>
          <w:caps/>
          <w:szCs w:val="24"/>
        </w:rPr>
      </w:pPr>
      <w:r w:rsidRPr="0024641A">
        <w:rPr>
          <w:rFonts w:ascii="Maiandra GD" w:hAnsi="Maiandra GD"/>
          <w:b/>
          <w:caps/>
          <w:szCs w:val="24"/>
        </w:rPr>
        <w:t>BETWEEN</w:t>
      </w:r>
    </w:p>
    <w:p w14:paraId="418602E5" w14:textId="77777777" w:rsidR="0024641A" w:rsidRPr="0024641A" w:rsidRDefault="0024641A" w:rsidP="0024641A">
      <w:pPr>
        <w:suppressAutoHyphens/>
        <w:ind w:left="720"/>
        <w:jc w:val="center"/>
        <w:rPr>
          <w:rFonts w:ascii="Maiandra GD" w:hAnsi="Maiandra GD"/>
          <w:b/>
          <w:caps/>
          <w:szCs w:val="24"/>
        </w:rPr>
      </w:pPr>
    </w:p>
    <w:p w14:paraId="4D29E69A" w14:textId="77777777" w:rsidR="0024641A" w:rsidRPr="0024641A" w:rsidRDefault="0024641A" w:rsidP="0024641A">
      <w:pPr>
        <w:suppressAutoHyphens/>
        <w:ind w:left="720"/>
        <w:jc w:val="center"/>
        <w:rPr>
          <w:rFonts w:ascii="Maiandra GD" w:hAnsi="Maiandra GD"/>
          <w:b/>
          <w:caps/>
          <w:szCs w:val="24"/>
        </w:rPr>
      </w:pPr>
      <w:r w:rsidRPr="0024641A">
        <w:rPr>
          <w:rFonts w:ascii="Maiandra GD" w:hAnsi="Maiandra GD"/>
          <w:b/>
          <w:caps/>
          <w:szCs w:val="24"/>
        </w:rPr>
        <w:t>SADC Secretariat</w:t>
      </w:r>
    </w:p>
    <w:p w14:paraId="5B8092DC" w14:textId="77777777" w:rsidR="0024641A" w:rsidRPr="0024641A" w:rsidRDefault="0024641A" w:rsidP="0024641A">
      <w:pPr>
        <w:suppressAutoHyphens/>
        <w:ind w:left="720"/>
        <w:jc w:val="center"/>
        <w:rPr>
          <w:rFonts w:ascii="Maiandra GD" w:hAnsi="Maiandra GD"/>
          <w:b/>
          <w:caps/>
          <w:szCs w:val="24"/>
        </w:rPr>
      </w:pPr>
    </w:p>
    <w:p w14:paraId="6E8EF7DB" w14:textId="77777777" w:rsidR="0024641A" w:rsidRPr="0024641A" w:rsidRDefault="0024641A" w:rsidP="0024641A">
      <w:pPr>
        <w:suppressAutoHyphens/>
        <w:ind w:left="720"/>
        <w:jc w:val="center"/>
        <w:rPr>
          <w:rFonts w:ascii="Maiandra GD" w:hAnsi="Maiandra GD"/>
          <w:b/>
          <w:caps/>
          <w:szCs w:val="24"/>
        </w:rPr>
      </w:pPr>
    </w:p>
    <w:p w14:paraId="7DC78903" w14:textId="77777777" w:rsidR="0024641A" w:rsidRPr="001143FD" w:rsidRDefault="0024641A" w:rsidP="0024641A">
      <w:pPr>
        <w:suppressAutoHyphens/>
        <w:ind w:left="720"/>
        <w:jc w:val="center"/>
        <w:rPr>
          <w:rFonts w:ascii="Maiandra GD" w:hAnsi="Maiandra GD"/>
          <w:b/>
          <w:caps/>
          <w:szCs w:val="24"/>
        </w:rPr>
      </w:pPr>
      <w:r w:rsidRPr="001143FD">
        <w:rPr>
          <w:rFonts w:ascii="Maiandra GD" w:hAnsi="Maiandra GD"/>
          <w:b/>
          <w:caps/>
          <w:szCs w:val="24"/>
        </w:rPr>
        <w:t>AND</w:t>
      </w:r>
    </w:p>
    <w:p w14:paraId="6AE02D0D" w14:textId="77777777" w:rsidR="0024641A" w:rsidRDefault="0024641A" w:rsidP="0024641A">
      <w:pPr>
        <w:suppressAutoHyphens/>
        <w:ind w:left="720"/>
        <w:jc w:val="center"/>
        <w:rPr>
          <w:rFonts w:ascii="Maiandra GD" w:hAnsi="Maiandra GD"/>
          <w:b/>
          <w:caps/>
          <w:szCs w:val="24"/>
        </w:rPr>
      </w:pPr>
    </w:p>
    <w:p w14:paraId="352D3A65" w14:textId="77777777" w:rsidR="0024641A" w:rsidRDefault="0024641A" w:rsidP="0024641A">
      <w:pPr>
        <w:suppressAutoHyphens/>
        <w:ind w:left="720"/>
        <w:jc w:val="center"/>
        <w:rPr>
          <w:rFonts w:ascii="Maiandra GD" w:hAnsi="Maiandra GD"/>
          <w:b/>
          <w:caps/>
          <w:szCs w:val="24"/>
        </w:rPr>
      </w:pPr>
    </w:p>
    <w:p w14:paraId="2325F31C" w14:textId="77777777" w:rsidR="0024641A" w:rsidRDefault="0024641A" w:rsidP="0024641A">
      <w:pPr>
        <w:suppressAutoHyphens/>
        <w:ind w:left="720"/>
        <w:jc w:val="center"/>
        <w:rPr>
          <w:rFonts w:ascii="Maiandra GD" w:hAnsi="Maiandra GD"/>
          <w:b/>
          <w:caps/>
          <w:szCs w:val="24"/>
        </w:rPr>
      </w:pPr>
    </w:p>
    <w:p w14:paraId="01EC386A" w14:textId="77777777" w:rsidR="0024641A" w:rsidRPr="001143FD" w:rsidRDefault="0024641A" w:rsidP="0024641A">
      <w:pPr>
        <w:suppressAutoHyphens/>
        <w:ind w:left="720"/>
        <w:jc w:val="center"/>
        <w:rPr>
          <w:rFonts w:ascii="Maiandra GD" w:hAnsi="Maiandra GD"/>
          <w:b/>
          <w:caps/>
          <w:szCs w:val="24"/>
        </w:rPr>
      </w:pPr>
      <w:r>
        <w:rPr>
          <w:rFonts w:ascii="Maiandra GD" w:hAnsi="Maiandra GD"/>
          <w:b/>
          <w:caps/>
          <w:szCs w:val="24"/>
        </w:rPr>
        <w:t>…………………………………………………..</w:t>
      </w:r>
    </w:p>
    <w:p w14:paraId="5E3CF9AC" w14:textId="77777777" w:rsidR="00C2718F" w:rsidRPr="00764A85" w:rsidRDefault="00C2718F" w:rsidP="00290199">
      <w:pPr>
        <w:pageBreakBefore/>
        <w:spacing w:before="120"/>
        <w:jc w:val="center"/>
        <w:rPr>
          <w:b/>
          <w:sz w:val="28"/>
          <w:szCs w:val="28"/>
        </w:rPr>
      </w:pPr>
      <w:r w:rsidRPr="00764A85">
        <w:rPr>
          <w:b/>
          <w:sz w:val="28"/>
          <w:szCs w:val="28"/>
        </w:rPr>
        <w:lastRenderedPageBreak/>
        <w:t>GRANT CONTRACT</w:t>
      </w:r>
    </w:p>
    <w:p w14:paraId="64431A0B" w14:textId="77777777" w:rsidR="00C2718F" w:rsidRPr="00764A85" w:rsidRDefault="002C4DB7" w:rsidP="006A0EBA">
      <w:pPr>
        <w:spacing w:before="120"/>
        <w:jc w:val="center"/>
        <w:rPr>
          <w:b/>
        </w:rPr>
      </w:pPr>
      <w:r>
        <w:rPr>
          <w:b/>
          <w:sz w:val="28"/>
          <w:szCs w:val="28"/>
        </w:rPr>
        <w:t>- SADC SECRETARIAT -</w:t>
      </w:r>
    </w:p>
    <w:p w14:paraId="7D4B11AD" w14:textId="77777777" w:rsidR="0024641A" w:rsidRPr="0024641A" w:rsidRDefault="0024641A" w:rsidP="0024641A">
      <w:pPr>
        <w:pStyle w:val="Text2"/>
        <w:tabs>
          <w:tab w:val="left" w:pos="-1701"/>
          <w:tab w:val="left" w:pos="-1560"/>
        </w:tabs>
        <w:spacing w:before="120"/>
        <w:jc w:val="center"/>
        <w:rPr>
          <w:sz w:val="22"/>
        </w:rPr>
      </w:pPr>
      <w:r w:rsidRPr="0024641A">
        <w:rPr>
          <w:sz w:val="22"/>
        </w:rPr>
        <w:t>SADC SECRETARIAT -</w:t>
      </w:r>
    </w:p>
    <w:p w14:paraId="43F21973" w14:textId="77777777" w:rsidR="0024641A" w:rsidRDefault="0024641A" w:rsidP="0024641A">
      <w:pPr>
        <w:pStyle w:val="Text2"/>
        <w:tabs>
          <w:tab w:val="clear" w:pos="2161"/>
          <w:tab w:val="left" w:pos="-1701"/>
          <w:tab w:val="left" w:pos="-1560"/>
        </w:tabs>
        <w:spacing w:before="120" w:after="0"/>
        <w:ind w:left="0"/>
        <w:jc w:val="center"/>
        <w:rPr>
          <w:sz w:val="22"/>
        </w:rPr>
      </w:pPr>
      <w:r w:rsidRPr="0024641A">
        <w:rPr>
          <w:sz w:val="22"/>
          <w:highlight w:val="yellow"/>
        </w:rPr>
        <w:t>Reference Number:</w:t>
      </w:r>
      <w:r>
        <w:rPr>
          <w:sz w:val="22"/>
        </w:rPr>
        <w:t xml:space="preserve"> </w:t>
      </w:r>
    </w:p>
    <w:p w14:paraId="39C73781"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2AA92AD4" w14:textId="77777777" w:rsidR="0024641A" w:rsidRPr="0024641A" w:rsidRDefault="0024641A" w:rsidP="0024641A">
      <w:pPr>
        <w:pStyle w:val="Text2"/>
        <w:tabs>
          <w:tab w:val="clear" w:pos="2161"/>
          <w:tab w:val="left" w:pos="-1701"/>
          <w:tab w:val="left" w:pos="-1560"/>
        </w:tabs>
        <w:spacing w:before="120" w:after="0"/>
        <w:ind w:left="0"/>
        <w:jc w:val="center"/>
        <w:rPr>
          <w:szCs w:val="24"/>
        </w:rPr>
      </w:pPr>
      <w:r w:rsidRPr="0024641A">
        <w:rPr>
          <w:szCs w:val="24"/>
        </w:rPr>
        <w:t>(the ‘Contract’)</w:t>
      </w:r>
    </w:p>
    <w:p w14:paraId="36DCCE20" w14:textId="77777777" w:rsidR="0024641A" w:rsidRPr="001143FD" w:rsidRDefault="0024641A" w:rsidP="0024641A">
      <w:pPr>
        <w:pStyle w:val="Text2"/>
        <w:tabs>
          <w:tab w:val="clear" w:pos="2161"/>
          <w:tab w:val="left" w:pos="-1701"/>
          <w:tab w:val="left" w:pos="-1560"/>
        </w:tabs>
        <w:spacing w:before="120" w:after="0"/>
        <w:ind w:left="0"/>
        <w:jc w:val="center"/>
        <w:rPr>
          <w:rFonts w:ascii="Maiandra GD" w:hAnsi="Maiandra GD"/>
          <w:b/>
          <w:szCs w:val="24"/>
        </w:rPr>
      </w:pPr>
    </w:p>
    <w:p w14:paraId="4FDC6390" w14:textId="77777777" w:rsidR="0024641A" w:rsidRPr="0024641A" w:rsidRDefault="0024641A" w:rsidP="0024641A">
      <w:pPr>
        <w:tabs>
          <w:tab w:val="left" w:pos="-1440"/>
          <w:tab w:val="left" w:pos="-720"/>
          <w:tab w:val="left" w:pos="828"/>
          <w:tab w:val="left" w:pos="1044"/>
          <w:tab w:val="left" w:pos="1260"/>
          <w:tab w:val="left" w:pos="1476"/>
          <w:tab w:val="left" w:pos="1692"/>
          <w:tab w:val="left" w:pos="2160"/>
        </w:tabs>
        <w:spacing w:before="120"/>
        <w:jc w:val="both"/>
        <w:rPr>
          <w:szCs w:val="24"/>
        </w:rPr>
      </w:pPr>
      <w:r w:rsidRPr="0024641A">
        <w:rPr>
          <w:szCs w:val="24"/>
        </w:rPr>
        <w:t xml:space="preserve">The Southern African Development Community (SADC) Secretariat, having its principal place of business at Plot 54385, New Central Business District, Gaborone, Botswana, (hereinafter the ‘Contracting Authority’) </w:t>
      </w:r>
    </w:p>
    <w:p w14:paraId="54E45F28" w14:textId="77777777" w:rsidR="0024641A" w:rsidRPr="0024641A" w:rsidRDefault="0024641A" w:rsidP="0024641A">
      <w:pPr>
        <w:tabs>
          <w:tab w:val="left" w:pos="-1701"/>
          <w:tab w:val="left" w:pos="-1560"/>
          <w:tab w:val="left" w:pos="-1440"/>
        </w:tabs>
        <w:spacing w:before="120"/>
        <w:jc w:val="right"/>
        <w:rPr>
          <w:szCs w:val="24"/>
        </w:rPr>
      </w:pPr>
      <w:r w:rsidRPr="0024641A">
        <w:rPr>
          <w:szCs w:val="24"/>
        </w:rPr>
        <w:t>of the one part,</w:t>
      </w:r>
    </w:p>
    <w:p w14:paraId="5823652F" w14:textId="77777777" w:rsidR="0024641A" w:rsidRPr="001143FD" w:rsidRDefault="0024641A" w:rsidP="0024641A">
      <w:pPr>
        <w:tabs>
          <w:tab w:val="left" w:pos="-1701"/>
          <w:tab w:val="left" w:pos="-1560"/>
          <w:tab w:val="left" w:pos="-1440"/>
        </w:tabs>
        <w:spacing w:before="120"/>
        <w:jc w:val="right"/>
        <w:rPr>
          <w:rFonts w:ascii="Maiandra GD" w:hAnsi="Maiandra GD"/>
          <w:szCs w:val="24"/>
        </w:rPr>
      </w:pPr>
    </w:p>
    <w:p w14:paraId="60EDAC3D" w14:textId="77777777" w:rsidR="006A0EBA" w:rsidRDefault="006A0EBA" w:rsidP="00532286">
      <w:pPr>
        <w:tabs>
          <w:tab w:val="left" w:pos="-1701"/>
          <w:tab w:val="left" w:pos="-1560"/>
          <w:tab w:val="left" w:pos="-1440"/>
        </w:tabs>
        <w:spacing w:before="120"/>
        <w:jc w:val="right"/>
        <w:rPr>
          <w:sz w:val="22"/>
        </w:rPr>
      </w:pPr>
    </w:p>
    <w:p w14:paraId="18F59D25" w14:textId="77777777" w:rsidR="006A0EBA" w:rsidRPr="00764A85" w:rsidRDefault="006A0EBA" w:rsidP="00532286">
      <w:pPr>
        <w:tabs>
          <w:tab w:val="left" w:pos="-1701"/>
          <w:tab w:val="left" w:pos="-1560"/>
          <w:tab w:val="left" w:pos="-1440"/>
        </w:tabs>
        <w:spacing w:before="120"/>
        <w:jc w:val="right"/>
        <w:rPr>
          <w:sz w:val="22"/>
        </w:rPr>
      </w:pPr>
    </w:p>
    <w:p w14:paraId="219A4705"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36A35599" w14:textId="77777777" w:rsidR="00284995" w:rsidRPr="00B52CC1" w:rsidRDefault="007C249A" w:rsidP="00B52CC1">
      <w:pPr>
        <w:spacing w:before="120"/>
        <w:jc w:val="both"/>
        <w:rPr>
          <w:sz w:val="22"/>
          <w:szCs w:val="22"/>
        </w:rPr>
      </w:pPr>
      <w:r w:rsidRPr="007C249A">
        <w:rPr>
          <w:i/>
          <w:sz w:val="22"/>
          <w:szCs w:val="22"/>
        </w:rPr>
        <w:t>[</w:t>
      </w:r>
      <w:r w:rsidR="00B52CC1" w:rsidRPr="007C249A">
        <w:rPr>
          <w:i/>
          <w:sz w:val="22"/>
          <w:szCs w:val="22"/>
        </w:rPr>
        <w:t>insert f</w:t>
      </w:r>
      <w:r w:rsidR="0018427B" w:rsidRPr="007C249A">
        <w:rPr>
          <w:i/>
          <w:sz w:val="22"/>
          <w:szCs w:val="22"/>
        </w:rPr>
        <w:t>ull official name</w:t>
      </w:r>
      <w:r w:rsidRPr="007C249A">
        <w:rPr>
          <w:i/>
          <w:sz w:val="22"/>
          <w:szCs w:val="22"/>
        </w:rPr>
        <w:t>, identification and address</w:t>
      </w:r>
      <w:proofErr w:type="gramStart"/>
      <w:r w:rsidRPr="007C249A">
        <w:rPr>
          <w:i/>
          <w:sz w:val="22"/>
          <w:szCs w:val="22"/>
        </w:rPr>
        <w:t>]</w:t>
      </w:r>
      <w:r w:rsidR="006339A2" w:rsidRPr="00B52CC1">
        <w:rPr>
          <w:sz w:val="22"/>
          <w:szCs w:val="22"/>
        </w:rPr>
        <w:t xml:space="preserve"> </w:t>
      </w:r>
      <w:r w:rsidR="00B52CC1">
        <w:rPr>
          <w:sz w:val="22"/>
          <w:szCs w:val="22"/>
        </w:rPr>
        <w:t>,</w:t>
      </w:r>
      <w:proofErr w:type="gramEnd"/>
      <w:r w:rsidR="00B52CC1">
        <w:rPr>
          <w:sz w:val="22"/>
          <w:szCs w:val="22"/>
        </w:rPr>
        <w:t xml:space="preserve"> </w:t>
      </w:r>
      <w:r w:rsidR="00360390" w:rsidRPr="00B52CC1">
        <w:rPr>
          <w:sz w:val="22"/>
          <w:szCs w:val="22"/>
        </w:rPr>
        <w:t>hereinafter the</w:t>
      </w:r>
      <w:r w:rsidR="00B52CC1" w:rsidRPr="00B52CC1">
        <w:rPr>
          <w:sz w:val="22"/>
          <w:szCs w:val="22"/>
        </w:rPr>
        <w:t xml:space="preserve"> “Beneficiary</w:t>
      </w:r>
      <w:r w:rsidR="00360390" w:rsidRPr="00B52CC1">
        <w:rPr>
          <w:sz w:val="22"/>
          <w:szCs w:val="22"/>
        </w:rPr>
        <w:t>”</w:t>
      </w:r>
      <w:r w:rsidR="00B52CC1">
        <w:rPr>
          <w:sz w:val="22"/>
          <w:szCs w:val="22"/>
        </w:rPr>
        <w:t>)</w:t>
      </w:r>
    </w:p>
    <w:p w14:paraId="33178CB3"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297D78C2"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4D8E7A20"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6DEFFAAF"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Pr="00764A85">
        <w:rPr>
          <w:sz w:val="22"/>
        </w:rPr>
        <w:t>Parties</w:t>
      </w:r>
      <w:r w:rsidR="00B479BA" w:rsidRPr="00764A85">
        <w:rPr>
          <w:sz w:val="22"/>
        </w:rPr>
        <w:t>’</w:t>
      </w:r>
      <w:r w:rsidRPr="00764A85">
        <w:rPr>
          <w:sz w:val="22"/>
        </w:rPr>
        <w:t>)</w:t>
      </w:r>
    </w:p>
    <w:p w14:paraId="2A70FC58" w14:textId="77777777" w:rsidR="00360390" w:rsidRPr="00764A85" w:rsidRDefault="00360390" w:rsidP="00532286">
      <w:pPr>
        <w:spacing w:before="120"/>
        <w:jc w:val="both"/>
        <w:rPr>
          <w:sz w:val="22"/>
        </w:rPr>
      </w:pPr>
    </w:p>
    <w:p w14:paraId="4B8D7DAE" w14:textId="77777777" w:rsidR="00C2718F" w:rsidRPr="00764A85" w:rsidRDefault="00C2718F" w:rsidP="00532286">
      <w:pPr>
        <w:spacing w:before="120"/>
        <w:jc w:val="both"/>
        <w:rPr>
          <w:sz w:val="22"/>
        </w:rPr>
      </w:pPr>
      <w:r w:rsidRPr="00764A85">
        <w:rPr>
          <w:sz w:val="22"/>
        </w:rPr>
        <w:t>have agreed as follows:</w:t>
      </w:r>
    </w:p>
    <w:p w14:paraId="0E1B6184" w14:textId="77777777" w:rsidR="00360390" w:rsidRPr="00764A85" w:rsidRDefault="00360390" w:rsidP="00532286">
      <w:pPr>
        <w:spacing w:before="120"/>
        <w:jc w:val="both"/>
        <w:rPr>
          <w:sz w:val="22"/>
        </w:rPr>
      </w:pPr>
    </w:p>
    <w:p w14:paraId="4B78CE9B"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749AFF59"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794300E0" w14:textId="77777777"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C60A6D" w:rsidRPr="00764A85">
        <w:rPr>
          <w:sz w:val="22"/>
        </w:rPr>
        <w:t xml:space="preserve">Contract </w:t>
      </w:r>
      <w:r w:rsidRPr="00764A85">
        <w:rPr>
          <w:sz w:val="22"/>
        </w:rPr>
        <w:t xml:space="preserve">is the award of a grant by the Contracting Authority </w:t>
      </w:r>
      <w:r w:rsidR="00196716" w:rsidRPr="00764A85">
        <w:rPr>
          <w:sz w:val="22"/>
        </w:rPr>
        <w:t>to finance</w:t>
      </w:r>
      <w:r w:rsidRPr="00764A85">
        <w:rPr>
          <w:sz w:val="22"/>
        </w:rPr>
        <w:t xml:space="preserve"> </w:t>
      </w:r>
      <w:r w:rsidR="00B52CC1">
        <w:rPr>
          <w:sz w:val="22"/>
        </w:rPr>
        <w:t>{</w:t>
      </w:r>
      <w:r w:rsidR="008F468F" w:rsidRPr="009B2B25">
        <w:rPr>
          <w:sz w:val="22"/>
        </w:rPr>
        <w:t>for action grants</w:t>
      </w:r>
      <w:r w:rsidR="008F468F" w:rsidRPr="00FB0431">
        <w:rPr>
          <w:sz w:val="22"/>
        </w:rPr>
        <w:t xml:space="preserve">: </w:t>
      </w:r>
      <w:r w:rsidR="00A56DEF" w:rsidRPr="00FB0431">
        <w:rPr>
          <w:sz w:val="22"/>
          <w:highlight w:val="lightGray"/>
        </w:rPr>
        <w:t xml:space="preserve">the implementation of </w:t>
      </w:r>
      <w:r w:rsidRPr="00FB0431">
        <w:rPr>
          <w:sz w:val="22"/>
          <w:highlight w:val="lightGray"/>
        </w:rPr>
        <w:t xml:space="preserve">the </w:t>
      </w:r>
      <w:r w:rsidR="00F21491" w:rsidRPr="00FB0431">
        <w:rPr>
          <w:sz w:val="22"/>
          <w:highlight w:val="lightGray"/>
        </w:rPr>
        <w:t>a</w:t>
      </w:r>
      <w:r w:rsidRPr="00FB0431">
        <w:rPr>
          <w:sz w:val="22"/>
          <w:highlight w:val="lightGray"/>
        </w:rPr>
        <w:t>ction entitled</w:t>
      </w:r>
      <w:r w:rsidRPr="00FB0431">
        <w:rPr>
          <w:sz w:val="22"/>
        </w:rPr>
        <w:t xml:space="preserve">: </w:t>
      </w:r>
      <w:r w:rsidR="009B2B25" w:rsidRPr="007C249A">
        <w:rPr>
          <w:i/>
          <w:sz w:val="22"/>
        </w:rPr>
        <w:t xml:space="preserve">[insert </w:t>
      </w:r>
      <w:r w:rsidRPr="007C249A">
        <w:rPr>
          <w:i/>
          <w:sz w:val="22"/>
        </w:rPr>
        <w:t xml:space="preserve">title of </w:t>
      </w:r>
      <w:r w:rsidR="009002AF" w:rsidRPr="007C249A">
        <w:rPr>
          <w:i/>
          <w:sz w:val="22"/>
        </w:rPr>
        <w:t>the</w:t>
      </w:r>
      <w:r w:rsidR="00E57F21" w:rsidRPr="007C249A">
        <w:rPr>
          <w:i/>
          <w:sz w:val="22"/>
        </w:rPr>
        <w:t xml:space="preserve"> </w:t>
      </w:r>
      <w:r w:rsidRPr="007C249A">
        <w:rPr>
          <w:i/>
          <w:sz w:val="22"/>
        </w:rPr>
        <w:t>Action</w:t>
      </w:r>
      <w:r w:rsidR="009B2B25" w:rsidRPr="007C249A">
        <w:rPr>
          <w:i/>
          <w:sz w:val="22"/>
          <w:highlight w:val="lightGray"/>
        </w:rPr>
        <w:t>]</w:t>
      </w:r>
      <w:r w:rsidRPr="00FB0431">
        <w:rPr>
          <w:sz w:val="22"/>
          <w:highlight w:val="lightGray"/>
        </w:rPr>
        <w:t xml:space="preserve"> (the </w:t>
      </w:r>
      <w:r w:rsidR="00B479BA" w:rsidRPr="00FB0431">
        <w:rPr>
          <w:sz w:val="22"/>
          <w:highlight w:val="lightGray"/>
        </w:rPr>
        <w:t>‘</w:t>
      </w:r>
      <w:r w:rsidRPr="00FB0431">
        <w:rPr>
          <w:sz w:val="22"/>
          <w:highlight w:val="lightGray"/>
        </w:rPr>
        <w:t>Action</w:t>
      </w:r>
      <w:r w:rsidR="00B479BA" w:rsidRPr="00FB0431">
        <w:rPr>
          <w:sz w:val="22"/>
          <w:highlight w:val="lightGray"/>
        </w:rPr>
        <w:t>’</w:t>
      </w:r>
      <w:r w:rsidRPr="00FB0431">
        <w:rPr>
          <w:sz w:val="22"/>
          <w:highlight w:val="lightGray"/>
        </w:rPr>
        <w:t>)</w:t>
      </w:r>
      <w:r w:rsidR="00B52CC1">
        <w:rPr>
          <w:sz w:val="22"/>
          <w:highlight w:val="lightGray"/>
        </w:rPr>
        <w:t>}</w:t>
      </w:r>
      <w:r w:rsidR="009B2B25">
        <w:rPr>
          <w:sz w:val="22"/>
        </w:rPr>
        <w:t xml:space="preserve"> {</w:t>
      </w:r>
      <w:r w:rsidR="00615407" w:rsidRPr="007C249A">
        <w:rPr>
          <w:i/>
          <w:sz w:val="22"/>
        </w:rPr>
        <w:t>for operating grants</w:t>
      </w:r>
      <w:r w:rsidR="00615407" w:rsidRPr="00764A85">
        <w:rPr>
          <w:sz w:val="22"/>
          <w:highlight w:val="lightGray"/>
        </w:rPr>
        <w:t>: an operating grant</w:t>
      </w:r>
      <w:r w:rsidR="008F468F" w:rsidRPr="00764A85">
        <w:rPr>
          <w:sz w:val="22"/>
          <w:highlight w:val="lightGray"/>
        </w:rPr>
        <w:t xml:space="preserve"> for</w:t>
      </w:r>
      <w:r w:rsidR="00615407" w:rsidRPr="00764A85">
        <w:rPr>
          <w:sz w:val="22"/>
          <w:highlight w:val="lightGray"/>
        </w:rPr>
        <w:t xml:space="preserve"> </w:t>
      </w:r>
      <w:r w:rsidR="009B2B25" w:rsidRPr="009B2B25">
        <w:rPr>
          <w:sz w:val="22"/>
        </w:rPr>
        <w:t>[</w:t>
      </w:r>
      <w:r w:rsidR="009B2B25" w:rsidRPr="007C249A">
        <w:rPr>
          <w:i/>
          <w:sz w:val="22"/>
        </w:rPr>
        <w:t>specify</w:t>
      </w:r>
      <w:r w:rsidR="009B2B25" w:rsidRPr="009B2B25">
        <w:rPr>
          <w:sz w:val="22"/>
        </w:rPr>
        <w:t>]</w:t>
      </w:r>
      <w:r w:rsidR="00615407" w:rsidRPr="00764A85">
        <w:rPr>
          <w:sz w:val="22"/>
        </w:rPr>
        <w:t xml:space="preserve"> </w:t>
      </w:r>
      <w:r w:rsidR="00615407" w:rsidRPr="00764A85">
        <w:rPr>
          <w:sz w:val="22"/>
          <w:highlight w:val="lightGray"/>
        </w:rPr>
        <w:t xml:space="preserve">(the </w:t>
      </w:r>
      <w:r w:rsidR="008F468F" w:rsidRPr="00764A85">
        <w:rPr>
          <w:sz w:val="22"/>
          <w:highlight w:val="lightGray"/>
        </w:rPr>
        <w:t>'Work P</w:t>
      </w:r>
      <w:r w:rsidR="00615407" w:rsidRPr="00764A85">
        <w:rPr>
          <w:sz w:val="22"/>
          <w:highlight w:val="lightGray"/>
        </w:rPr>
        <w:t>rogramme'</w:t>
      </w:r>
      <w:proofErr w:type="gramStart"/>
      <w:r w:rsidR="00615407" w:rsidRPr="00764A85">
        <w:rPr>
          <w:sz w:val="22"/>
          <w:highlight w:val="lightGray"/>
        </w:rPr>
        <w:t>)</w:t>
      </w:r>
      <w:r w:rsidR="009B2B25">
        <w:rPr>
          <w:sz w:val="22"/>
        </w:rPr>
        <w:t xml:space="preserve"> }</w:t>
      </w:r>
      <w:proofErr w:type="gramEnd"/>
      <w:r w:rsidR="002E60D5" w:rsidRPr="00764A85">
        <w:rPr>
          <w:sz w:val="22"/>
        </w:rPr>
        <w:t xml:space="preserve"> described in Annex I</w:t>
      </w:r>
      <w:r w:rsidRPr="00764A85">
        <w:rPr>
          <w:sz w:val="22"/>
        </w:rPr>
        <w:t>.</w:t>
      </w:r>
    </w:p>
    <w:p w14:paraId="1A8581D8" w14:textId="77777777" w:rsidR="00C2718F" w:rsidRPr="00764A85" w:rsidRDefault="00C2718F" w:rsidP="00532286">
      <w:pPr>
        <w:spacing w:before="120"/>
        <w:ind w:left="567" w:hanging="567"/>
        <w:jc w:val="both"/>
        <w:rPr>
          <w:sz w:val="22"/>
        </w:rPr>
      </w:pPr>
      <w:r w:rsidRPr="00764A85">
        <w:rPr>
          <w:sz w:val="22"/>
        </w:rPr>
        <w:t>1.2</w:t>
      </w:r>
      <w:r w:rsidRPr="00764A85">
        <w:rPr>
          <w:sz w:val="22"/>
        </w:rPr>
        <w:tab/>
        <w:t>The Beneficiary</w:t>
      </w:r>
      <w:r w:rsidR="00360390" w:rsidRPr="00764A85">
        <w:rPr>
          <w:sz w:val="22"/>
        </w:rPr>
        <w:t>(</w:t>
      </w:r>
      <w:proofErr w:type="spellStart"/>
      <w:r w:rsidR="00360390" w:rsidRPr="00764A85">
        <w:rPr>
          <w:sz w:val="22"/>
        </w:rPr>
        <w:t>ies</w:t>
      </w:r>
      <w:proofErr w:type="spellEnd"/>
      <w:r w:rsidR="00360390" w:rsidRPr="00764A85">
        <w:rPr>
          <w:sz w:val="22"/>
        </w:rPr>
        <w:t xml:space="preserve">) </w:t>
      </w:r>
      <w:r w:rsidR="00C60A6D" w:rsidRPr="00764A85">
        <w:rPr>
          <w:sz w:val="22"/>
        </w:rPr>
        <w:t xml:space="preserve">shall </w:t>
      </w:r>
      <w:r w:rsidRPr="00764A85">
        <w:rPr>
          <w:sz w:val="22"/>
        </w:rPr>
        <w:t xml:space="preserve">be awarded the grant on the terms and conditions set out in this </w:t>
      </w:r>
      <w:r w:rsidR="00C60A6D" w:rsidRPr="00764A85">
        <w:rPr>
          <w:sz w:val="22"/>
        </w:rPr>
        <w:t>Contract</w:t>
      </w:r>
      <w:r w:rsidRPr="00764A85">
        <w:rPr>
          <w:sz w:val="22"/>
        </w:rPr>
        <w:t>, which consists of these special conditions (</w:t>
      </w:r>
      <w:r w:rsidR="00A44FE3" w:rsidRPr="00764A85">
        <w:rPr>
          <w:sz w:val="22"/>
        </w:rPr>
        <w:t xml:space="preserve">the </w:t>
      </w:r>
      <w:r w:rsidR="00B479BA" w:rsidRPr="00764A85">
        <w:rPr>
          <w:sz w:val="22"/>
        </w:rPr>
        <w:t>‘</w:t>
      </w:r>
      <w:r w:rsidRPr="00764A85">
        <w:rPr>
          <w:sz w:val="22"/>
        </w:rPr>
        <w:t>Special Conditions</w:t>
      </w:r>
      <w:r w:rsidR="00B479BA" w:rsidRPr="00764A85">
        <w:rPr>
          <w:sz w:val="22"/>
        </w:rPr>
        <w:t>’</w:t>
      </w:r>
      <w:r w:rsidRPr="00764A85">
        <w:rPr>
          <w:sz w:val="22"/>
        </w:rPr>
        <w:t xml:space="preserve">) and the annexes, which the </w:t>
      </w:r>
      <w:r w:rsidR="00360390" w:rsidRPr="00764A85">
        <w:rPr>
          <w:sz w:val="22"/>
        </w:rPr>
        <w:t>Beneficiary(</w:t>
      </w:r>
      <w:proofErr w:type="spellStart"/>
      <w:r w:rsidR="00360390" w:rsidRPr="00764A85">
        <w:rPr>
          <w:sz w:val="22"/>
        </w:rPr>
        <w:t>ies</w:t>
      </w:r>
      <w:proofErr w:type="spellEnd"/>
      <w:r w:rsidR="00360390" w:rsidRPr="00764A85">
        <w:rPr>
          <w:sz w:val="22"/>
        </w:rPr>
        <w:t>)</w:t>
      </w:r>
      <w:r w:rsidRPr="00764A85">
        <w:rPr>
          <w:sz w:val="22"/>
        </w:rPr>
        <w:t xml:space="preserve"> hereby declares it has noted and accepted.</w:t>
      </w:r>
    </w:p>
    <w:p w14:paraId="0ED307AD"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60390" w:rsidRPr="00764A85">
        <w:rPr>
          <w:sz w:val="22"/>
        </w:rPr>
        <w:t>Beneficiary(</w:t>
      </w:r>
      <w:proofErr w:type="spellStart"/>
      <w:r w:rsidR="00360390" w:rsidRPr="00764A85">
        <w:rPr>
          <w:sz w:val="22"/>
        </w:rPr>
        <w:t>ies</w:t>
      </w:r>
      <w:proofErr w:type="spellEnd"/>
      <w:r w:rsidR="00360390" w:rsidRPr="00764A85">
        <w:rPr>
          <w:sz w:val="22"/>
        </w:rPr>
        <w:t>)</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Action.</w:t>
      </w:r>
    </w:p>
    <w:p w14:paraId="50DA20E8"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Action</w:t>
      </w:r>
    </w:p>
    <w:p w14:paraId="5B2D52CD"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C60A6D" w:rsidRPr="00764A85">
        <w:rPr>
          <w:snapToGrid w:val="0"/>
          <w:sz w:val="22"/>
        </w:rPr>
        <w:t xml:space="preserve">Contract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of the two Parties signs.</w:t>
      </w:r>
    </w:p>
    <w:p w14:paraId="74CE593D" w14:textId="77777777" w:rsidR="00C2718F" w:rsidRPr="00F13D45"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9B2B25">
        <w:rPr>
          <w:sz w:val="22"/>
        </w:rPr>
        <w:t>{</w:t>
      </w:r>
      <w:r w:rsidRPr="00764A85">
        <w:rPr>
          <w:sz w:val="22"/>
          <w:highlight w:val="lightGray"/>
        </w:rPr>
        <w:t>Action</w:t>
      </w:r>
      <w:r w:rsidR="009B2B25">
        <w:rPr>
          <w:sz w:val="22"/>
          <w:highlight w:val="lightGray"/>
        </w:rPr>
        <w:t>} {</w:t>
      </w:r>
      <w:r w:rsidR="008F468F" w:rsidRPr="00764A85">
        <w:rPr>
          <w:sz w:val="22"/>
          <w:highlight w:val="lightGray"/>
        </w:rPr>
        <w:t>Work P</w:t>
      </w:r>
      <w:r w:rsidR="00615407" w:rsidRPr="00764A85">
        <w:rPr>
          <w:sz w:val="22"/>
          <w:highlight w:val="lightGray"/>
        </w:rPr>
        <w:t>rogramme</w:t>
      </w:r>
      <w:r w:rsidR="009B2B25">
        <w:rPr>
          <w:sz w:val="22"/>
        </w:rPr>
        <w:t>}</w:t>
      </w:r>
      <w:r w:rsidRPr="00764A85">
        <w:rPr>
          <w:sz w:val="22"/>
        </w:rPr>
        <w:t xml:space="preserve"> shall begin on:</w:t>
      </w:r>
    </w:p>
    <w:p w14:paraId="2B42600A" w14:textId="77777777" w:rsidR="00C2718F" w:rsidRPr="009B2B25" w:rsidRDefault="009B2B25" w:rsidP="00532286">
      <w:pPr>
        <w:spacing w:before="120"/>
        <w:ind w:left="567"/>
        <w:jc w:val="both"/>
        <w:rPr>
          <w:i/>
          <w:sz w:val="22"/>
        </w:rPr>
      </w:pPr>
      <w:r w:rsidRPr="009B2B25">
        <w:rPr>
          <w:i/>
          <w:sz w:val="22"/>
        </w:rPr>
        <w:t>(</w:t>
      </w:r>
      <w:r w:rsidR="00C2718F" w:rsidRPr="009B2B25">
        <w:rPr>
          <w:i/>
          <w:sz w:val="22"/>
        </w:rPr>
        <w:t>choose one of the following</w:t>
      </w:r>
      <w:r w:rsidRPr="009B2B25">
        <w:rPr>
          <w:i/>
          <w:sz w:val="22"/>
        </w:rPr>
        <w:t>)</w:t>
      </w:r>
      <w:r w:rsidR="00C2718F" w:rsidRPr="009B2B25">
        <w:rPr>
          <w:i/>
          <w:sz w:val="22"/>
        </w:rPr>
        <w:t>:</w:t>
      </w:r>
    </w:p>
    <w:p w14:paraId="2C6B223F" w14:textId="77777777" w:rsidR="00C2718F" w:rsidRPr="009B2B25" w:rsidRDefault="00C2718F" w:rsidP="00532286">
      <w:pPr>
        <w:widowControl w:val="0"/>
        <w:spacing w:before="120"/>
        <w:ind w:left="851" w:hanging="142"/>
        <w:rPr>
          <w:snapToGrid w:val="0"/>
          <w:sz w:val="22"/>
          <w:highlight w:val="lightGray"/>
        </w:rPr>
      </w:pPr>
      <w:r w:rsidRPr="009B2B25">
        <w:rPr>
          <w:i/>
          <w:snapToGrid w:val="0"/>
          <w:sz w:val="22"/>
        </w:rPr>
        <w:t>-</w:t>
      </w:r>
      <w:r w:rsidRPr="009B2B25">
        <w:rPr>
          <w:snapToGrid w:val="0"/>
          <w:sz w:val="22"/>
        </w:rPr>
        <w:tab/>
      </w:r>
      <w:r w:rsidR="009B2B25" w:rsidRPr="009B2B25">
        <w:rPr>
          <w:snapToGrid w:val="0"/>
          <w:sz w:val="22"/>
          <w:highlight w:val="lightGray"/>
        </w:rPr>
        <w:t xml:space="preserve">the day </w:t>
      </w:r>
      <w:r w:rsidRPr="009B2B25">
        <w:rPr>
          <w:snapToGrid w:val="0"/>
          <w:sz w:val="22"/>
          <w:highlight w:val="lightGray"/>
        </w:rPr>
        <w:t xml:space="preserve">on which the </w:t>
      </w:r>
      <w:r w:rsidR="00F21491" w:rsidRPr="009B2B25">
        <w:rPr>
          <w:snapToGrid w:val="0"/>
          <w:sz w:val="22"/>
          <w:highlight w:val="lightGray"/>
        </w:rPr>
        <w:t xml:space="preserve">second </w:t>
      </w:r>
      <w:r w:rsidRPr="009B2B25">
        <w:rPr>
          <w:snapToGrid w:val="0"/>
          <w:sz w:val="22"/>
          <w:highlight w:val="lightGray"/>
        </w:rPr>
        <w:t>of the two Parties signs</w:t>
      </w:r>
    </w:p>
    <w:p w14:paraId="250D90B9" w14:textId="4D91B515" w:rsidR="00C2718F" w:rsidRPr="00764A85" w:rsidRDefault="009B2B25" w:rsidP="009B2B25">
      <w:pPr>
        <w:spacing w:before="120"/>
        <w:ind w:left="851" w:hanging="142"/>
        <w:jc w:val="both"/>
        <w:rPr>
          <w:snapToGrid w:val="0"/>
          <w:sz w:val="22"/>
        </w:rPr>
      </w:pPr>
      <w:r w:rsidRPr="009B2B25">
        <w:rPr>
          <w:snapToGrid w:val="0"/>
          <w:sz w:val="22"/>
          <w:highlight w:val="lightGray"/>
        </w:rPr>
        <w:t>.</w:t>
      </w:r>
      <w:r>
        <w:rPr>
          <w:snapToGrid w:val="0"/>
          <w:sz w:val="22"/>
        </w:rPr>
        <w:t xml:space="preserve"> </w:t>
      </w:r>
    </w:p>
    <w:p w14:paraId="1475C7C6" w14:textId="77777777"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9B2B25">
        <w:rPr>
          <w:sz w:val="22"/>
        </w:rPr>
        <w:t>{</w:t>
      </w:r>
      <w:r w:rsidR="00615407" w:rsidRPr="00764A85">
        <w:rPr>
          <w:sz w:val="22"/>
          <w:highlight w:val="lightGray"/>
        </w:rPr>
        <w:t>Action</w:t>
      </w:r>
      <w:r w:rsidR="009B2B25">
        <w:rPr>
          <w:sz w:val="22"/>
          <w:highlight w:val="lightGray"/>
        </w:rPr>
        <w:t>} {</w:t>
      </w:r>
      <w:r w:rsidR="008F468F" w:rsidRPr="00764A85">
        <w:rPr>
          <w:sz w:val="22"/>
          <w:highlight w:val="lightGray"/>
        </w:rPr>
        <w:t>W</w:t>
      </w:r>
      <w:r w:rsidR="00615407" w:rsidRPr="00764A85">
        <w:rPr>
          <w:sz w:val="22"/>
          <w:highlight w:val="lightGray"/>
        </w:rPr>
        <w:t xml:space="preserve">ork </w:t>
      </w:r>
      <w:r w:rsidR="008F468F" w:rsidRPr="00764A85">
        <w:rPr>
          <w:sz w:val="22"/>
          <w:highlight w:val="lightGray"/>
        </w:rPr>
        <w:t>P</w:t>
      </w:r>
      <w:r w:rsidR="00615407" w:rsidRPr="00764A85">
        <w:rPr>
          <w:sz w:val="22"/>
          <w:highlight w:val="lightGray"/>
        </w:rPr>
        <w:t>rogramme</w:t>
      </w:r>
      <w:r w:rsidR="009B2B25">
        <w:rPr>
          <w:sz w:val="22"/>
        </w:rPr>
        <w:t>}</w:t>
      </w:r>
      <w:r w:rsidRPr="00764A85">
        <w:rPr>
          <w:sz w:val="22"/>
        </w:rPr>
        <w:t xml:space="preserve">, as laid down in Annex I, is </w:t>
      </w:r>
      <w:r w:rsidR="009B2B25" w:rsidRPr="009B2B25">
        <w:rPr>
          <w:i/>
          <w:sz w:val="22"/>
        </w:rPr>
        <w:t xml:space="preserve">[specify </w:t>
      </w:r>
      <w:r w:rsidRPr="009B2B25">
        <w:rPr>
          <w:i/>
          <w:sz w:val="22"/>
        </w:rPr>
        <w:t>number of months</w:t>
      </w:r>
      <w:r w:rsidR="009B2B25" w:rsidRPr="009B2B25">
        <w:rPr>
          <w:i/>
          <w:sz w:val="22"/>
        </w:rPr>
        <w:t>]</w:t>
      </w:r>
      <w:r w:rsidRPr="00041A83">
        <w:rPr>
          <w:sz w:val="22"/>
        </w:rPr>
        <w:t>.</w:t>
      </w:r>
    </w:p>
    <w:p w14:paraId="057DC41C"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C60A6D" w:rsidRPr="00764A85">
        <w:rPr>
          <w:sz w:val="22"/>
        </w:rPr>
        <w:t xml:space="preserve">Contract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Contracting </w:t>
      </w:r>
      <w:r w:rsidR="00F21491" w:rsidRPr="00764A85">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44D91D18"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Action</w:t>
      </w:r>
      <w:r w:rsidR="009C76AB" w:rsidRPr="00764A85">
        <w:rPr>
          <w:rStyle w:val="FootnoteReference"/>
        </w:rPr>
        <w:footnoteReference w:id="1"/>
      </w:r>
    </w:p>
    <w:p w14:paraId="583E0107" w14:textId="77777777"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7C249A">
        <w:rPr>
          <w:i/>
          <w:sz w:val="22"/>
        </w:rPr>
        <w:t>[</w:t>
      </w:r>
      <w:r w:rsidR="009B2B25" w:rsidRPr="009B2B25">
        <w:rPr>
          <w:i/>
          <w:sz w:val="22"/>
        </w:rPr>
        <w:t>specify currency</w:t>
      </w:r>
      <w:r w:rsidR="007C249A">
        <w:rPr>
          <w:i/>
          <w:sz w:val="22"/>
        </w:rPr>
        <w:t>]</w:t>
      </w:r>
      <w:r w:rsidR="00BF3D51" w:rsidRPr="00764A85">
        <w:rPr>
          <w:sz w:val="22"/>
        </w:rPr>
        <w:t>, as set out in Annex III</w:t>
      </w:r>
      <w:r w:rsidR="00564181" w:rsidRPr="00764A85">
        <w:rPr>
          <w:sz w:val="22"/>
        </w:rPr>
        <w:t>.</w:t>
      </w:r>
    </w:p>
    <w:p w14:paraId="5DBA452E" w14:textId="77777777" w:rsidR="007F2301" w:rsidRPr="00045579" w:rsidRDefault="00C2718F" w:rsidP="00532286">
      <w:pPr>
        <w:spacing w:before="120"/>
        <w:ind w:left="567" w:hanging="567"/>
        <w:jc w:val="both"/>
        <w:rPr>
          <w:i/>
          <w:sz w:val="22"/>
        </w:rPr>
      </w:pPr>
      <w:r w:rsidRPr="00764A85">
        <w:rPr>
          <w:sz w:val="22"/>
        </w:rPr>
        <w:t>3.2</w:t>
      </w:r>
      <w:r w:rsidRPr="00764A85">
        <w:rPr>
          <w:sz w:val="22"/>
        </w:rPr>
        <w:tab/>
        <w:t>The Contracting Authority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7C249A">
        <w:rPr>
          <w:i/>
          <w:sz w:val="22"/>
        </w:rPr>
        <w:t>[specify currency and amount]</w:t>
      </w:r>
      <w:r w:rsidR="009B2B25" w:rsidRPr="00045579">
        <w:rPr>
          <w:i/>
          <w:sz w:val="22"/>
        </w:rPr>
        <w:t>.</w:t>
      </w:r>
    </w:p>
    <w:p w14:paraId="4DFCD52B" w14:textId="16CA48EA" w:rsidR="00C81A9D" w:rsidRPr="00764A85" w:rsidRDefault="007F2301" w:rsidP="00C76959">
      <w:pPr>
        <w:spacing w:before="120"/>
        <w:ind w:left="567"/>
        <w:jc w:val="both"/>
        <w:rPr>
          <w:sz w:val="22"/>
        </w:rPr>
      </w:pPr>
      <w:r w:rsidRPr="008E7381">
        <w:rPr>
          <w:sz w:val="22"/>
        </w:rPr>
        <w:t>The grant is further limited to</w:t>
      </w:r>
      <w:r w:rsidR="009B2B25" w:rsidRPr="009B2B25">
        <w:rPr>
          <w:i/>
          <w:sz w:val="22"/>
        </w:rPr>
        <w:t>]</w:t>
      </w:r>
      <w:r w:rsidR="004D7015">
        <w:rPr>
          <w:i/>
          <w:sz w:val="22"/>
        </w:rPr>
        <w:t>7%</w:t>
      </w:r>
      <w:r w:rsidR="000040A9" w:rsidRPr="00764A85">
        <w:rPr>
          <w:sz w:val="22"/>
        </w:rPr>
        <w:t xml:space="preserve">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9B2B25">
        <w:rPr>
          <w:sz w:val="22"/>
          <w:highlight w:val="lightGray"/>
        </w:rPr>
        <w:t>{</w:t>
      </w:r>
      <w:r w:rsidR="0045327B" w:rsidRPr="00F13D45">
        <w:rPr>
          <w:sz w:val="22"/>
          <w:highlight w:val="lightGray"/>
        </w:rPr>
        <w:t>Action</w:t>
      </w:r>
      <w:r w:rsidR="009B2B25">
        <w:rPr>
          <w:sz w:val="22"/>
          <w:highlight w:val="lightGray"/>
        </w:rPr>
        <w:t>}</w:t>
      </w:r>
      <w:r w:rsidR="00846B5A" w:rsidRPr="00F13D45">
        <w:rPr>
          <w:sz w:val="22"/>
          <w:highlight w:val="lightGray"/>
        </w:rPr>
        <w:t xml:space="preserve"> </w:t>
      </w:r>
      <w:r w:rsidR="009B2B25" w:rsidRPr="009B2B25">
        <w:rPr>
          <w:sz w:val="22"/>
        </w:rPr>
        <w:t>{</w:t>
      </w:r>
      <w:r w:rsidR="00721234" w:rsidRPr="009B2B25">
        <w:rPr>
          <w:i/>
          <w:sz w:val="22"/>
        </w:rPr>
        <w:t>for operating grants</w:t>
      </w:r>
      <w:r w:rsidR="00721234" w:rsidRPr="009B2B25">
        <w:rPr>
          <w:sz w:val="22"/>
        </w:rPr>
        <w:t xml:space="preserve">: </w:t>
      </w:r>
      <w:r w:rsidR="00721234" w:rsidRPr="00F13D45">
        <w:rPr>
          <w:sz w:val="22"/>
          <w:highlight w:val="lightGray"/>
        </w:rPr>
        <w:t>operating budget</w:t>
      </w:r>
      <w:r w:rsidR="009B2B25">
        <w:rPr>
          <w:sz w:val="22"/>
        </w:rPr>
        <w:t>}</w:t>
      </w:r>
      <w:r w:rsidR="009811B2" w:rsidRPr="00764A85">
        <w:rPr>
          <w:sz w:val="22"/>
        </w:rPr>
        <w:t xml:space="preserve"> specified in paragraph 1</w:t>
      </w:r>
      <w:r w:rsidR="00121C26" w:rsidRPr="00764A85">
        <w:rPr>
          <w:sz w:val="22"/>
        </w:rPr>
        <w:t>.</w:t>
      </w:r>
    </w:p>
    <w:p w14:paraId="778ABC31"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Pr="00764A85">
        <w:rPr>
          <w:sz w:val="22"/>
        </w:rPr>
        <w:t>Contracting Authority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2062A162" w14:textId="77777777" w:rsidR="00C676C0" w:rsidRPr="00751F52" w:rsidRDefault="00721234" w:rsidP="002326A2">
      <w:pPr>
        <w:keepNext/>
        <w:spacing w:before="120"/>
        <w:ind w:left="567" w:hanging="567"/>
        <w:jc w:val="both"/>
        <w:rPr>
          <w:b/>
          <w:i/>
          <w:sz w:val="22"/>
        </w:rPr>
      </w:pPr>
      <w:r w:rsidRPr="00751F52">
        <w:rPr>
          <w:b/>
          <w:i/>
          <w:sz w:val="22"/>
        </w:rPr>
        <w:t xml:space="preserve">Only for Action grants: </w:t>
      </w:r>
    </w:p>
    <w:p w14:paraId="02D5F091" w14:textId="77777777" w:rsidR="00CD0D3A" w:rsidRPr="00764A85" w:rsidRDefault="009B2B25" w:rsidP="00532286">
      <w:pPr>
        <w:spacing w:before="120"/>
        <w:ind w:left="567" w:hanging="567"/>
        <w:jc w:val="both"/>
        <w:rPr>
          <w:sz w:val="22"/>
        </w:rPr>
      </w:pPr>
      <w:r>
        <w:rPr>
          <w:sz w:val="22"/>
        </w:rPr>
        <w:t>{</w:t>
      </w:r>
      <w:r w:rsidR="00C676C0">
        <w:rPr>
          <w:sz w:val="22"/>
        </w:rPr>
        <w:t>3.3</w:t>
      </w:r>
      <w:r w:rsidR="00C676C0">
        <w:rPr>
          <w:sz w:val="22"/>
        </w:rPr>
        <w:tab/>
      </w:r>
      <w:r w:rsidR="00CD0D3A" w:rsidRPr="00764A85">
        <w:rPr>
          <w:sz w:val="22"/>
          <w:highlight w:val="lightGray"/>
        </w:rPr>
        <w:t>Pursuant to Article 14.</w:t>
      </w:r>
      <w:r w:rsidR="003708C6" w:rsidRPr="00764A85">
        <w:rPr>
          <w:sz w:val="22"/>
          <w:highlight w:val="lightGray"/>
        </w:rPr>
        <w:t>7</w:t>
      </w:r>
      <w:r w:rsidR="00CD0D3A" w:rsidRPr="00764A85">
        <w:rPr>
          <w:sz w:val="22"/>
          <w:highlight w:val="lightGray"/>
        </w:rPr>
        <w:t xml:space="preserve"> of Annex II, </w:t>
      </w:r>
      <w:r w:rsidRPr="009B2B25">
        <w:rPr>
          <w:i/>
          <w:sz w:val="22"/>
          <w:highlight w:val="lightGray"/>
        </w:rPr>
        <w:t>[</w:t>
      </w:r>
      <w:r w:rsidR="00F55E80" w:rsidRPr="009B2B25">
        <w:rPr>
          <w:i/>
          <w:sz w:val="22"/>
        </w:rPr>
        <w:t xml:space="preserve">enter percentage, </w:t>
      </w:r>
      <w:r w:rsidR="00741C17" w:rsidRPr="009B2B25">
        <w:rPr>
          <w:i/>
          <w:sz w:val="22"/>
        </w:rPr>
        <w:t xml:space="preserve">maximum </w:t>
      </w:r>
      <w:r w:rsidRPr="009B2B25">
        <w:rPr>
          <w:i/>
          <w:sz w:val="22"/>
        </w:rPr>
        <w:t>10</w:t>
      </w:r>
      <w:r w:rsidR="00B479BA" w:rsidRPr="009B2B25">
        <w:rPr>
          <w:i/>
          <w:w w:val="50"/>
          <w:sz w:val="22"/>
        </w:rPr>
        <w:t> </w:t>
      </w:r>
      <w:proofErr w:type="gramStart"/>
      <w:r w:rsidR="00741C17" w:rsidRPr="009B2B25">
        <w:rPr>
          <w:i/>
          <w:sz w:val="22"/>
        </w:rPr>
        <w:t>%</w:t>
      </w:r>
      <w:r>
        <w:rPr>
          <w:sz w:val="22"/>
        </w:rPr>
        <w:t>]</w:t>
      </w:r>
      <w:r w:rsidR="00CD0D3A" w:rsidRPr="00764A85">
        <w:rPr>
          <w:sz w:val="22"/>
          <w:highlight w:val="lightGray"/>
        </w:rPr>
        <w:t>%</w:t>
      </w:r>
      <w:proofErr w:type="gramEnd"/>
      <w:r w:rsidR="00CD0D3A" w:rsidRPr="00764A85">
        <w:rPr>
          <w:sz w:val="22"/>
          <w:highlight w:val="lightGray"/>
        </w:rPr>
        <w:t xml:space="preserve"> of the final </w:t>
      </w:r>
      <w:r w:rsidR="00272880" w:rsidRPr="00764A85">
        <w:rPr>
          <w:sz w:val="22"/>
          <w:highlight w:val="lightGray"/>
        </w:rPr>
        <w:t>amount of direct eligible costs</w:t>
      </w:r>
      <w:r w:rsidR="00C81A9D" w:rsidRPr="00764A85">
        <w:rPr>
          <w:sz w:val="22"/>
          <w:highlight w:val="lightGray"/>
        </w:rPr>
        <w:t xml:space="preserve"> </w:t>
      </w:r>
      <w:r w:rsidR="00CD0D3A" w:rsidRPr="00764A85">
        <w:rPr>
          <w:sz w:val="22"/>
          <w:highlight w:val="lightGray"/>
        </w:rPr>
        <w:t>of the Action established in accordance with Articles 14 and 17 of Annex II, may be claimed as indirect costs.</w:t>
      </w:r>
      <w:r w:rsidR="00F30DCF" w:rsidRPr="00764A85">
        <w:rPr>
          <w:sz w:val="22"/>
        </w:rPr>
        <w:t xml:space="preserve"> </w:t>
      </w:r>
      <w:r>
        <w:rPr>
          <w:sz w:val="22"/>
        </w:rPr>
        <w:t>}</w:t>
      </w:r>
    </w:p>
    <w:p w14:paraId="647A947C"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4D9F4086" w14:textId="77777777"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045579" w:rsidRPr="00045579">
        <w:rPr>
          <w:i/>
          <w:sz w:val="22"/>
        </w:rPr>
        <w:t>[</w:t>
      </w:r>
      <w:r w:rsidR="0021035A" w:rsidRPr="00045579">
        <w:rPr>
          <w:i/>
          <w:sz w:val="22"/>
        </w:rPr>
        <w:t>choose 1</w:t>
      </w:r>
      <w:r w:rsidR="00045579" w:rsidRPr="00045579">
        <w:rPr>
          <w:i/>
          <w:sz w:val="22"/>
        </w:rPr>
        <w:t xml:space="preserve"> ,2 or 3]</w:t>
      </w:r>
      <w:r w:rsidR="00AB7BC6" w:rsidRPr="00045579">
        <w:rPr>
          <w:i/>
          <w:sz w:val="22"/>
        </w:rPr>
        <w:t xml:space="preserve"> </w:t>
      </w:r>
      <w:r w:rsidR="00AB7BC6" w:rsidRPr="00764A85">
        <w:rPr>
          <w:sz w:val="22"/>
        </w:rPr>
        <w:t>as set out in Article 1</w:t>
      </w:r>
      <w:r w:rsidR="00952C27" w:rsidRPr="00764A85">
        <w:rPr>
          <w:sz w:val="22"/>
        </w:rPr>
        <w:t>5</w:t>
      </w:r>
      <w:r w:rsidR="00AB7BC6" w:rsidRPr="00764A85">
        <w:rPr>
          <w:sz w:val="22"/>
        </w:rPr>
        <w:t>.1</w:t>
      </w:r>
      <w:r w:rsidRPr="00764A85">
        <w:rPr>
          <w:sz w:val="22"/>
        </w:rPr>
        <w:t xml:space="preserve"> </w:t>
      </w:r>
    </w:p>
    <w:p w14:paraId="717B3F9A" w14:textId="77777777" w:rsidR="00C45615" w:rsidRPr="00764A85" w:rsidRDefault="00C45615" w:rsidP="00764A85">
      <w:pPr>
        <w:keepNext/>
        <w:keepLines/>
        <w:spacing w:before="120"/>
        <w:ind w:left="567" w:hanging="567"/>
        <w:jc w:val="both"/>
        <w:rPr>
          <w:sz w:val="22"/>
        </w:rPr>
      </w:pPr>
    </w:p>
    <w:p w14:paraId="2043D881" w14:textId="77777777" w:rsidR="00C2718F" w:rsidRPr="00045579" w:rsidRDefault="00045579" w:rsidP="00532286">
      <w:pPr>
        <w:pStyle w:val="Text1"/>
        <w:spacing w:before="120" w:after="0"/>
        <w:ind w:left="567"/>
        <w:jc w:val="both"/>
        <w:rPr>
          <w:b/>
          <w:i/>
          <w:sz w:val="22"/>
        </w:rPr>
      </w:pPr>
      <w:r>
        <w:rPr>
          <w:b/>
          <w:i/>
          <w:sz w:val="22"/>
          <w:u w:val="single"/>
        </w:rPr>
        <w:t>{</w:t>
      </w:r>
      <w:r w:rsidR="00C2718F" w:rsidRPr="00045579">
        <w:rPr>
          <w:b/>
          <w:i/>
          <w:sz w:val="22"/>
          <w:u w:val="single"/>
        </w:rPr>
        <w:t>Option 1</w:t>
      </w:r>
      <w:r w:rsidR="00AB7BC6" w:rsidRPr="00045579">
        <w:rPr>
          <w:b/>
          <w:i/>
          <w:sz w:val="22"/>
          <w:u w:val="single"/>
        </w:rPr>
        <w:t xml:space="preserve"> and 2</w:t>
      </w:r>
      <w:r>
        <w:rPr>
          <w:b/>
          <w:i/>
          <w:sz w:val="22"/>
          <w:u w:val="single"/>
        </w:rPr>
        <w:t>}</w:t>
      </w:r>
    </w:p>
    <w:p w14:paraId="65D59385" w14:textId="77777777"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045579">
        <w:rPr>
          <w:i/>
          <w:sz w:val="22"/>
        </w:rPr>
        <w:t>:</w:t>
      </w:r>
      <w:r w:rsidR="00F30DCF" w:rsidRPr="00045579">
        <w:rPr>
          <w:i/>
          <w:sz w:val="22"/>
        </w:rPr>
        <w:t xml:space="preserve"> </w:t>
      </w:r>
      <w:r w:rsidR="00045579">
        <w:rPr>
          <w:i/>
          <w:sz w:val="22"/>
        </w:rPr>
        <w:t>[enter</w:t>
      </w:r>
      <w:r w:rsidR="00045579" w:rsidRPr="00045579">
        <w:rPr>
          <w:i/>
          <w:sz w:val="22"/>
        </w:rPr>
        <w:t xml:space="preserve"> amount and currency]</w:t>
      </w:r>
      <w:r w:rsidR="00041A83" w:rsidRPr="00045579">
        <w:rPr>
          <w:i/>
          <w:sz w:val="22"/>
        </w:rPr>
        <w:t>.</w:t>
      </w:r>
    </w:p>
    <w:p w14:paraId="4D893A2B" w14:textId="77777777" w:rsidR="00846B5A" w:rsidRDefault="00045579" w:rsidP="00532286">
      <w:pPr>
        <w:pStyle w:val="Text1"/>
        <w:spacing w:before="120" w:after="0"/>
        <w:ind w:left="567"/>
        <w:jc w:val="both"/>
        <w:rPr>
          <w:b/>
          <w:i/>
          <w:sz w:val="22"/>
          <w:u w:val="single"/>
        </w:rPr>
      </w:pPr>
      <w:r w:rsidRPr="00045579">
        <w:rPr>
          <w:b/>
          <w:i/>
          <w:sz w:val="22"/>
          <w:u w:val="single"/>
        </w:rPr>
        <w:t>{</w:t>
      </w:r>
      <w:r w:rsidR="00C2718F" w:rsidRPr="00045579">
        <w:rPr>
          <w:b/>
          <w:i/>
          <w:sz w:val="22"/>
          <w:u w:val="single"/>
        </w:rPr>
        <w:t>Option 2</w:t>
      </w:r>
      <w:r w:rsidR="00DC1882" w:rsidRPr="00045579">
        <w:rPr>
          <w:b/>
          <w:i/>
          <w:sz w:val="22"/>
          <w:u w:val="single"/>
        </w:rPr>
        <w:t xml:space="preserve"> only</w:t>
      </w:r>
      <w:r w:rsidRPr="00045579">
        <w:rPr>
          <w:b/>
          <w:i/>
          <w:sz w:val="22"/>
          <w:u w:val="single"/>
        </w:rPr>
        <w:t>}</w:t>
      </w:r>
    </w:p>
    <w:p w14:paraId="24897032" w14:textId="77777777" w:rsidR="007572AC" w:rsidRPr="007572AC" w:rsidRDefault="007572AC" w:rsidP="007572AC">
      <w:pPr>
        <w:pStyle w:val="Text1"/>
        <w:spacing w:before="120" w:after="0"/>
        <w:ind w:left="567"/>
        <w:rPr>
          <w:b/>
          <w:i/>
          <w:sz w:val="22"/>
          <w:lang w:val="en-US"/>
        </w:rPr>
      </w:pPr>
      <w:r w:rsidRPr="007572AC">
        <w:rPr>
          <w:b/>
          <w:i/>
          <w:sz w:val="22"/>
          <w:lang w:val="en-US"/>
        </w:rPr>
        <w:lastRenderedPageBreak/>
        <w:t xml:space="preserve">Option 2: Actions with an implementation period of more than 12 months and grant of more than USD 100 000 </w:t>
      </w:r>
    </w:p>
    <w:p w14:paraId="47A1E935" w14:textId="77777777" w:rsidR="007572AC" w:rsidRPr="007572AC" w:rsidRDefault="007572AC" w:rsidP="007572AC">
      <w:pPr>
        <w:pStyle w:val="Text1"/>
        <w:spacing w:before="120" w:after="0"/>
        <w:ind w:left="567"/>
        <w:rPr>
          <w:b/>
          <w:i/>
          <w:sz w:val="22"/>
          <w:lang w:val="en-US"/>
        </w:rPr>
      </w:pPr>
      <w:r w:rsidRPr="007572AC">
        <w:rPr>
          <w:b/>
          <w:i/>
          <w:sz w:val="22"/>
          <w:lang w:val="en-US"/>
        </w:rPr>
        <w:t xml:space="preserve"> (</w:t>
      </w:r>
      <w:proofErr w:type="spellStart"/>
      <w:r w:rsidRPr="007572AC">
        <w:rPr>
          <w:b/>
          <w:i/>
          <w:sz w:val="22"/>
          <w:lang w:val="en-US"/>
        </w:rPr>
        <w:t>i</w:t>
      </w:r>
      <w:proofErr w:type="spellEnd"/>
      <w:r w:rsidRPr="007572AC">
        <w:rPr>
          <w:b/>
          <w:i/>
          <w:sz w:val="22"/>
          <w:lang w:val="en-US"/>
        </w:rPr>
        <w:t xml:space="preserve">) an initial pre-financing payment of 100 % of the part of the estimated budget financed by the Contracting Authority for the first reporting period (excluding contingencies). The part of the budget financed by the Contracting Authority is calculated by applying the percentage set out in Article 3.3 of the Special </w:t>
      </w:r>
      <w:proofErr w:type="gramStart"/>
      <w:r w:rsidRPr="007572AC">
        <w:rPr>
          <w:b/>
          <w:i/>
          <w:sz w:val="22"/>
          <w:lang w:val="en-US"/>
        </w:rPr>
        <w:t>Conditions;</w:t>
      </w:r>
      <w:proofErr w:type="gramEnd"/>
      <w:r w:rsidRPr="007572AC">
        <w:rPr>
          <w:b/>
          <w:i/>
          <w:sz w:val="22"/>
          <w:lang w:val="en-US"/>
        </w:rPr>
        <w:t xml:space="preserve"> </w:t>
      </w:r>
    </w:p>
    <w:p w14:paraId="297C7531" w14:textId="77777777" w:rsidR="007572AC" w:rsidRPr="007572AC" w:rsidRDefault="007572AC" w:rsidP="007572AC">
      <w:pPr>
        <w:pStyle w:val="Text1"/>
        <w:spacing w:before="120" w:after="0"/>
        <w:ind w:left="567"/>
        <w:rPr>
          <w:b/>
          <w:i/>
          <w:sz w:val="22"/>
          <w:lang w:val="en-US"/>
        </w:rPr>
      </w:pPr>
      <w:r w:rsidRPr="007572AC">
        <w:rPr>
          <w:b/>
          <w:i/>
          <w:sz w:val="22"/>
          <w:lang w:val="en-US"/>
        </w:rPr>
        <w:t xml:space="preserve">(ii) further pre-financing payments of 100 % of the part of the estimated budget financed by the Contracting Authority for the following reporting period (excluding not </w:t>
      </w:r>
      <w:proofErr w:type="spellStart"/>
      <w:r w:rsidRPr="007572AC">
        <w:rPr>
          <w:b/>
          <w:i/>
          <w:sz w:val="22"/>
          <w:lang w:val="en-US"/>
        </w:rPr>
        <w:t>authorised</w:t>
      </w:r>
      <w:proofErr w:type="spellEnd"/>
      <w:r w:rsidRPr="007572AC">
        <w:rPr>
          <w:b/>
          <w:i/>
          <w:sz w:val="22"/>
          <w:lang w:val="en-US"/>
        </w:rPr>
        <w:t xml:space="preserve"> contingencies): </w:t>
      </w:r>
    </w:p>
    <w:p w14:paraId="26A89199" w14:textId="77777777" w:rsidR="007572AC" w:rsidRPr="007572AC" w:rsidRDefault="007572AC" w:rsidP="007572AC">
      <w:pPr>
        <w:pStyle w:val="Text1"/>
        <w:numPr>
          <w:ilvl w:val="0"/>
          <w:numId w:val="20"/>
        </w:numPr>
        <w:spacing w:before="120" w:after="0"/>
        <w:rPr>
          <w:b/>
          <w:i/>
          <w:sz w:val="22"/>
          <w:lang w:val="en-US"/>
        </w:rPr>
      </w:pPr>
      <w:r w:rsidRPr="007572AC">
        <w:rPr>
          <w:b/>
          <w:i/>
          <w:sz w:val="22"/>
          <w:lang w:val="en-US"/>
        </w:rPr>
        <w:t xml:space="preserve">the reporting period is intended as a twelve-month period unless otherwise provided for in the Special Conditions. When the remaining period to the end of the Action is up to 18 months, the reporting period shall cover it </w:t>
      </w:r>
      <w:proofErr w:type="gramStart"/>
      <w:r w:rsidRPr="007572AC">
        <w:rPr>
          <w:b/>
          <w:i/>
          <w:sz w:val="22"/>
          <w:lang w:val="en-US"/>
        </w:rPr>
        <w:t>entirely;</w:t>
      </w:r>
      <w:proofErr w:type="gramEnd"/>
      <w:r w:rsidRPr="007572AC">
        <w:rPr>
          <w:b/>
          <w:i/>
          <w:sz w:val="22"/>
          <w:lang w:val="en-US"/>
        </w:rPr>
        <w:t xml:space="preserve"> </w:t>
      </w:r>
    </w:p>
    <w:p w14:paraId="2BE66849" w14:textId="77777777" w:rsidR="007572AC" w:rsidRPr="007572AC" w:rsidRDefault="007572AC" w:rsidP="007572AC">
      <w:pPr>
        <w:pStyle w:val="Text1"/>
        <w:numPr>
          <w:ilvl w:val="0"/>
          <w:numId w:val="20"/>
        </w:numPr>
        <w:spacing w:before="120" w:after="0"/>
        <w:rPr>
          <w:b/>
          <w:i/>
          <w:sz w:val="22"/>
          <w:lang w:val="en-US"/>
        </w:rPr>
      </w:pPr>
      <w:r w:rsidRPr="007572AC">
        <w:rPr>
          <w:b/>
          <w:i/>
          <w:sz w:val="22"/>
          <w:lang w:val="en-US"/>
        </w:rPr>
        <w:t xml:space="preserve">within 60 days following the end of the reporting period, the lead applicant shall present an interim report or, if unable to do so, it shall inform the </w:t>
      </w:r>
    </w:p>
    <w:p w14:paraId="413B79DB" w14:textId="77777777" w:rsidR="007572AC" w:rsidRPr="007572AC" w:rsidRDefault="007572AC" w:rsidP="007572AC">
      <w:pPr>
        <w:pStyle w:val="Text1"/>
        <w:numPr>
          <w:ilvl w:val="0"/>
          <w:numId w:val="20"/>
        </w:numPr>
        <w:spacing w:before="120" w:after="0"/>
        <w:rPr>
          <w:b/>
          <w:i/>
          <w:sz w:val="22"/>
          <w:lang w:val="en-US"/>
        </w:rPr>
      </w:pPr>
      <w:r w:rsidRPr="007572AC">
        <w:rPr>
          <w:b/>
          <w:i/>
          <w:sz w:val="22"/>
          <w:lang w:val="en-US"/>
        </w:rPr>
        <w:t xml:space="preserve">Contracting Authority of the reasons and provide a summary of progress of the </w:t>
      </w:r>
      <w:proofErr w:type="gramStart"/>
      <w:r w:rsidRPr="007572AC">
        <w:rPr>
          <w:b/>
          <w:i/>
          <w:sz w:val="22"/>
          <w:lang w:val="en-US"/>
        </w:rPr>
        <w:t>Action;</w:t>
      </w:r>
      <w:proofErr w:type="gramEnd"/>
      <w:r w:rsidRPr="007572AC">
        <w:rPr>
          <w:b/>
          <w:i/>
          <w:sz w:val="22"/>
          <w:lang w:val="en-US"/>
        </w:rPr>
        <w:t xml:space="preserve"> </w:t>
      </w:r>
    </w:p>
    <w:p w14:paraId="21BEAF63" w14:textId="77777777" w:rsidR="007572AC" w:rsidRPr="007572AC" w:rsidRDefault="007572AC" w:rsidP="007572AC">
      <w:pPr>
        <w:pStyle w:val="Text1"/>
        <w:numPr>
          <w:ilvl w:val="0"/>
          <w:numId w:val="20"/>
        </w:numPr>
        <w:spacing w:before="120" w:after="0"/>
        <w:rPr>
          <w:b/>
          <w:i/>
          <w:sz w:val="22"/>
          <w:lang w:val="en-US"/>
        </w:rPr>
      </w:pPr>
      <w:r w:rsidRPr="007572AC">
        <w:rPr>
          <w:b/>
          <w:i/>
          <w:sz w:val="22"/>
          <w:lang w:val="en-US"/>
        </w:rPr>
        <w:t>if at the end of the reporting period the part of the expenditure actually incurred which is financed by the Contracting Authority is less than 70 % of the previous payment (and 100 % of any previous payments), the further pre-financing payment shall be reduced by the amount corresponding to the difference between the 70 % of the previous pre- financing payment and the part of the expenditure actually incurred which is financed by the Contracting Authority;  </w:t>
      </w:r>
    </w:p>
    <w:p w14:paraId="2B5B20DD" w14:textId="77777777" w:rsidR="007572AC" w:rsidRPr="007572AC" w:rsidRDefault="007572AC" w:rsidP="007572AC">
      <w:pPr>
        <w:pStyle w:val="Text1"/>
        <w:numPr>
          <w:ilvl w:val="0"/>
          <w:numId w:val="20"/>
        </w:numPr>
        <w:spacing w:before="120" w:after="0"/>
        <w:rPr>
          <w:b/>
          <w:i/>
          <w:sz w:val="22"/>
          <w:lang w:val="en-US"/>
        </w:rPr>
      </w:pPr>
      <w:r w:rsidRPr="007572AC">
        <w:rPr>
          <w:b/>
          <w:i/>
          <w:sz w:val="22"/>
          <w:lang w:val="en-US"/>
        </w:rPr>
        <w:t xml:space="preserve">the lead applicant may submit a request for further pre-financing payment before the end of the reporting period, when the part of the expenditure actually incurred which is financed by the Contracting Authority is more than 70% of the previous payment (and 100% of any previous payments). In this case, the following reporting period starts anew from the end date of the period covered by this payment </w:t>
      </w:r>
      <w:proofErr w:type="gramStart"/>
      <w:r w:rsidRPr="007572AC">
        <w:rPr>
          <w:b/>
          <w:i/>
          <w:sz w:val="22"/>
          <w:lang w:val="en-US"/>
        </w:rPr>
        <w:t>request;</w:t>
      </w:r>
      <w:proofErr w:type="gramEnd"/>
      <w:r w:rsidRPr="007572AC">
        <w:rPr>
          <w:b/>
          <w:i/>
          <w:sz w:val="22"/>
          <w:lang w:val="en-US"/>
        </w:rPr>
        <w:t xml:space="preserve">  </w:t>
      </w:r>
    </w:p>
    <w:p w14:paraId="62088517" w14:textId="77777777" w:rsidR="007572AC" w:rsidRPr="007572AC" w:rsidRDefault="007572AC" w:rsidP="007572AC">
      <w:pPr>
        <w:pStyle w:val="Text1"/>
        <w:numPr>
          <w:ilvl w:val="0"/>
          <w:numId w:val="20"/>
        </w:numPr>
        <w:spacing w:before="120" w:after="0"/>
        <w:rPr>
          <w:b/>
          <w:i/>
          <w:sz w:val="22"/>
          <w:lang w:val="en-US"/>
        </w:rPr>
      </w:pPr>
      <w:r w:rsidRPr="007572AC">
        <w:rPr>
          <w:b/>
          <w:i/>
          <w:sz w:val="22"/>
          <w:lang w:val="en-US"/>
        </w:rPr>
        <w:t xml:space="preserve">in addition, for grants of more than USD 3 000 000, a further pre- financing payment may be made only if the part financed by the Contracting Authority of the eligible costs approved is at least equal to the total amount of all the previous payments excluding the last </w:t>
      </w:r>
      <w:proofErr w:type="gramStart"/>
      <w:r w:rsidRPr="007572AC">
        <w:rPr>
          <w:b/>
          <w:i/>
          <w:sz w:val="22"/>
          <w:lang w:val="en-US"/>
        </w:rPr>
        <w:t>one;</w:t>
      </w:r>
      <w:proofErr w:type="gramEnd"/>
      <w:r w:rsidRPr="007572AC">
        <w:rPr>
          <w:b/>
          <w:i/>
          <w:sz w:val="22"/>
          <w:lang w:val="en-US"/>
        </w:rPr>
        <w:t xml:space="preserve">  </w:t>
      </w:r>
    </w:p>
    <w:p w14:paraId="7BE6B624" w14:textId="77777777" w:rsidR="007572AC" w:rsidRPr="007572AC" w:rsidRDefault="007572AC" w:rsidP="007572AC">
      <w:pPr>
        <w:pStyle w:val="Text1"/>
        <w:numPr>
          <w:ilvl w:val="0"/>
          <w:numId w:val="20"/>
        </w:numPr>
        <w:spacing w:before="120" w:after="0"/>
        <w:rPr>
          <w:b/>
          <w:i/>
          <w:sz w:val="22"/>
          <w:lang w:val="en-US"/>
        </w:rPr>
      </w:pPr>
      <w:r w:rsidRPr="007572AC">
        <w:rPr>
          <w:b/>
          <w:i/>
          <w:sz w:val="22"/>
          <w:lang w:val="en-US"/>
        </w:rPr>
        <w:t xml:space="preserve">the total sum of pre-financing payments may not exceed 90 % of the amount referred to in Article 3.2 of the Special Conditions, excluding not </w:t>
      </w:r>
      <w:proofErr w:type="spellStart"/>
      <w:r w:rsidRPr="007572AC">
        <w:rPr>
          <w:b/>
          <w:i/>
          <w:sz w:val="22"/>
          <w:lang w:val="en-US"/>
        </w:rPr>
        <w:t>authorised</w:t>
      </w:r>
      <w:proofErr w:type="spellEnd"/>
      <w:r w:rsidRPr="007572AC">
        <w:rPr>
          <w:b/>
          <w:i/>
          <w:sz w:val="22"/>
          <w:lang w:val="en-US"/>
        </w:rPr>
        <w:t xml:space="preserve"> </w:t>
      </w:r>
      <w:proofErr w:type="gramStart"/>
      <w:r w:rsidRPr="007572AC">
        <w:rPr>
          <w:b/>
          <w:i/>
          <w:sz w:val="22"/>
          <w:lang w:val="en-US"/>
        </w:rPr>
        <w:t>contingencies;</w:t>
      </w:r>
      <w:proofErr w:type="gramEnd"/>
      <w:r w:rsidRPr="007572AC">
        <w:rPr>
          <w:b/>
          <w:i/>
          <w:sz w:val="22"/>
          <w:lang w:val="en-US"/>
        </w:rPr>
        <w:t xml:space="preserve">  </w:t>
      </w:r>
    </w:p>
    <w:p w14:paraId="5CE68DC5" w14:textId="77777777" w:rsidR="007572AC" w:rsidRPr="007572AC" w:rsidRDefault="007572AC" w:rsidP="007572AC">
      <w:pPr>
        <w:pStyle w:val="Text1"/>
        <w:spacing w:before="120" w:after="0"/>
        <w:ind w:left="567"/>
        <w:rPr>
          <w:b/>
          <w:i/>
          <w:sz w:val="22"/>
          <w:lang w:val="en-US"/>
        </w:rPr>
      </w:pPr>
      <w:r w:rsidRPr="007572AC">
        <w:rPr>
          <w:b/>
          <w:i/>
          <w:sz w:val="22"/>
          <w:lang w:val="en-US"/>
        </w:rPr>
        <w:t xml:space="preserve">(iii) the balance of the final amount of the grant. </w:t>
      </w:r>
    </w:p>
    <w:p w14:paraId="13D9A0CD" w14:textId="77777777" w:rsidR="007572AC" w:rsidRPr="00045579" w:rsidRDefault="007572AC" w:rsidP="00532286">
      <w:pPr>
        <w:pStyle w:val="Text1"/>
        <w:spacing w:before="120" w:after="0"/>
        <w:ind w:left="567"/>
        <w:jc w:val="both"/>
        <w:rPr>
          <w:b/>
          <w:i/>
          <w:sz w:val="22"/>
          <w:u w:val="single"/>
        </w:rPr>
      </w:pPr>
    </w:p>
    <w:p w14:paraId="1EFA90F9" w14:textId="77777777" w:rsidR="00C2718F" w:rsidRPr="00045579" w:rsidRDefault="00045579" w:rsidP="00532286">
      <w:pPr>
        <w:pStyle w:val="Text1"/>
        <w:spacing w:before="120" w:after="0"/>
        <w:ind w:left="567"/>
        <w:jc w:val="both"/>
        <w:rPr>
          <w:i/>
          <w:sz w:val="22"/>
        </w:rPr>
      </w:pPr>
      <w:r w:rsidRPr="00045579">
        <w:rPr>
          <w:i/>
          <w:sz w:val="22"/>
        </w:rPr>
        <w:t>{</w:t>
      </w:r>
      <w:r w:rsidR="00442C66" w:rsidRPr="00045579">
        <w:rPr>
          <w:i/>
          <w:sz w:val="22"/>
        </w:rPr>
        <w:t xml:space="preserve">Note that the forecast instalments should be indicated as one </w:t>
      </w:r>
      <w:r w:rsidR="00355BCD" w:rsidRPr="00045579">
        <w:rPr>
          <w:i/>
          <w:sz w:val="22"/>
        </w:rPr>
        <w:t>global</w:t>
      </w:r>
      <w:r w:rsidR="00442C66" w:rsidRPr="00045579">
        <w:rPr>
          <w:i/>
          <w:sz w:val="22"/>
        </w:rPr>
        <w:t xml:space="preserve"> amount and not broken down per payment. The actual instalments will be based on the updated forecast for the next</w:t>
      </w:r>
      <w:r w:rsidR="00DE6361" w:rsidRPr="00045579">
        <w:rPr>
          <w:i/>
          <w:sz w:val="22"/>
        </w:rPr>
        <w:t xml:space="preserve"> reporting period</w:t>
      </w:r>
      <w:r w:rsidR="003F7402" w:rsidRPr="00045579">
        <w:rPr>
          <w:i/>
          <w:sz w:val="22"/>
        </w:rPr>
        <w:t>. The total sum of pre-financing payments may not exceed 90 % of the amount referred to in Article 3.2 of the Special Conditions, excluding not authorised contingencies</w:t>
      </w:r>
      <w:r w:rsidRPr="00045579">
        <w:rPr>
          <w:i/>
          <w:sz w:val="22"/>
        </w:rPr>
        <w:t>}.</w:t>
      </w:r>
    </w:p>
    <w:p w14:paraId="0D98524A" w14:textId="77777777"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5579">
        <w:rPr>
          <w:i/>
          <w:sz w:val="22"/>
        </w:rPr>
        <w:t>[enter</w:t>
      </w:r>
      <w:r w:rsidR="00045579" w:rsidRPr="00045579">
        <w:rPr>
          <w:i/>
          <w:sz w:val="22"/>
        </w:rPr>
        <w:t xml:space="preserve"> amount and </w:t>
      </w:r>
      <w:proofErr w:type="gramStart"/>
      <w:r w:rsidR="00045579" w:rsidRPr="00045579">
        <w:rPr>
          <w:i/>
          <w:sz w:val="22"/>
        </w:rPr>
        <w:t>currency]</w:t>
      </w:r>
      <w:r w:rsidR="00D91F18" w:rsidRPr="00764A85">
        <w:rPr>
          <w:sz w:val="22"/>
        </w:rPr>
        <w:t>(</w:t>
      </w:r>
      <w:proofErr w:type="gramEnd"/>
      <w:r w:rsidR="00D91F18" w:rsidRPr="00764A85">
        <w:rPr>
          <w:sz w:val="22"/>
        </w:rPr>
        <w:t>subject to the provisions of Annex II)</w:t>
      </w:r>
      <w:r w:rsidR="00707F09">
        <w:rPr>
          <w:sz w:val="22"/>
        </w:rPr>
        <w:t>.</w:t>
      </w:r>
    </w:p>
    <w:p w14:paraId="27998C58" w14:textId="77777777" w:rsidR="00BA65FC" w:rsidRPr="00045579" w:rsidRDefault="00045579" w:rsidP="00532286">
      <w:pPr>
        <w:spacing w:before="120"/>
        <w:ind w:left="567"/>
        <w:jc w:val="both"/>
        <w:rPr>
          <w:b/>
          <w:i/>
          <w:sz w:val="22"/>
          <w:u w:val="single"/>
        </w:rPr>
      </w:pPr>
      <w:r>
        <w:rPr>
          <w:b/>
          <w:i/>
          <w:sz w:val="22"/>
          <w:u w:val="single"/>
        </w:rPr>
        <w:t>{</w:t>
      </w:r>
      <w:r w:rsidR="00C2718F" w:rsidRPr="00045579">
        <w:rPr>
          <w:b/>
          <w:i/>
          <w:sz w:val="22"/>
          <w:u w:val="single"/>
        </w:rPr>
        <w:t xml:space="preserve">Option </w:t>
      </w:r>
      <w:r w:rsidR="00AB7BC6" w:rsidRPr="00045579">
        <w:rPr>
          <w:b/>
          <w:i/>
          <w:sz w:val="22"/>
          <w:u w:val="single"/>
        </w:rPr>
        <w:t>1-2-</w:t>
      </w:r>
      <w:r w:rsidR="00C2718F" w:rsidRPr="00045579">
        <w:rPr>
          <w:b/>
          <w:i/>
          <w:sz w:val="22"/>
          <w:u w:val="single"/>
        </w:rPr>
        <w:t>3</w:t>
      </w:r>
      <w:r>
        <w:rPr>
          <w:b/>
          <w:i/>
          <w:sz w:val="22"/>
          <w:u w:val="single"/>
        </w:rPr>
        <w:t>}</w:t>
      </w:r>
    </w:p>
    <w:p w14:paraId="48A9CCEE"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3527B2CF" w14:textId="77777777"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AB0F31">
        <w:rPr>
          <w:sz w:val="22"/>
        </w:rPr>
        <w:t xml:space="preserve"> </w:t>
      </w:r>
      <w:r w:rsidR="00AB0F31">
        <w:rPr>
          <w:i/>
          <w:sz w:val="22"/>
        </w:rPr>
        <w:t>[enter</w:t>
      </w:r>
      <w:r w:rsidR="00AB0F31" w:rsidRPr="00045579">
        <w:rPr>
          <w:i/>
          <w:sz w:val="22"/>
        </w:rPr>
        <w:t xml:space="preserve"> amount and currency].</w:t>
      </w:r>
    </w:p>
    <w:p w14:paraId="4F037BB3" w14:textId="77777777" w:rsidR="003D55B9" w:rsidRPr="00764A85" w:rsidRDefault="00AB0F31" w:rsidP="00C76959">
      <w:pPr>
        <w:spacing w:before="120"/>
        <w:ind w:left="567" w:hanging="567"/>
        <w:jc w:val="both"/>
        <w:rPr>
          <w:sz w:val="22"/>
        </w:rPr>
      </w:pPr>
      <w:r>
        <w:rPr>
          <w:sz w:val="22"/>
        </w:rPr>
        <w:t>{</w:t>
      </w:r>
      <w:r w:rsidR="00D76F3A" w:rsidRPr="00764A85">
        <w:rPr>
          <w:sz w:val="22"/>
        </w:rPr>
        <w:t>4.</w:t>
      </w:r>
      <w:r w:rsidR="00DE4E57" w:rsidRPr="00764A85">
        <w:rPr>
          <w:sz w:val="22"/>
        </w:rPr>
        <w:t>x</w:t>
      </w:r>
      <w:r w:rsidR="00D76F3A" w:rsidRPr="00764A85">
        <w:rPr>
          <w:sz w:val="22"/>
        </w:rPr>
        <w:tab/>
      </w:r>
      <w:r w:rsidR="00F9654B" w:rsidRPr="00AB0F31">
        <w:rPr>
          <w:i/>
          <w:sz w:val="22"/>
        </w:rPr>
        <w:t>:</w:t>
      </w:r>
      <w:r w:rsidR="00F9654B" w:rsidRPr="00AB0F31">
        <w:rPr>
          <w:b/>
          <w:sz w:val="22"/>
        </w:rPr>
        <w:t xml:space="preserve"> </w:t>
      </w:r>
      <w:r w:rsidR="00F9654B" w:rsidRPr="00764A85">
        <w:rPr>
          <w:b/>
          <w:sz w:val="22"/>
        </w:rPr>
        <w:t xml:space="preserve"> </w:t>
      </w:r>
      <w:r w:rsidR="00564181" w:rsidRPr="00AB0F31">
        <w:rPr>
          <w:i/>
          <w:sz w:val="22"/>
          <w:highlight w:val="lightGray"/>
        </w:rPr>
        <w:t>T</w:t>
      </w:r>
      <w:r w:rsidR="00187D68" w:rsidRPr="00AB0F31">
        <w:rPr>
          <w:i/>
          <w:sz w:val="22"/>
          <w:highlight w:val="lightGray"/>
        </w:rPr>
        <w:t>he f</w:t>
      </w:r>
      <w:r w:rsidR="00D76F3A" w:rsidRPr="00AB0F31">
        <w:rPr>
          <w:i/>
          <w:sz w:val="22"/>
          <w:highlight w:val="lightGray"/>
        </w:rPr>
        <w:t>irst instalment of pre-financing</w:t>
      </w:r>
      <w:r w:rsidR="00F9654B" w:rsidRPr="00AB0F31">
        <w:rPr>
          <w:i/>
          <w:sz w:val="22"/>
          <w:highlight w:val="lightGray"/>
        </w:rPr>
        <w:t xml:space="preserve"> </w:t>
      </w:r>
      <w:r w:rsidR="00C60A6D" w:rsidRPr="00AB0F31">
        <w:rPr>
          <w:i/>
          <w:sz w:val="22"/>
          <w:highlight w:val="lightGray"/>
        </w:rPr>
        <w:t xml:space="preserve">shall </w:t>
      </w:r>
      <w:r w:rsidR="00D76F3A" w:rsidRPr="00AB0F31">
        <w:rPr>
          <w:i/>
          <w:sz w:val="22"/>
          <w:highlight w:val="lightGray"/>
        </w:rPr>
        <w:t xml:space="preserve">be </w:t>
      </w:r>
      <w:r w:rsidR="002C788E" w:rsidRPr="00AB0F31">
        <w:rPr>
          <w:i/>
          <w:sz w:val="22"/>
          <w:highlight w:val="lightGray"/>
        </w:rPr>
        <w:t xml:space="preserve">accompanied by </w:t>
      </w:r>
      <w:r w:rsidR="000B33DA" w:rsidRPr="00AB0F31">
        <w:rPr>
          <w:i/>
          <w:sz w:val="22"/>
          <w:highlight w:val="lightGray"/>
        </w:rPr>
        <w:t>a</w:t>
      </w:r>
      <w:r w:rsidR="002C788E" w:rsidRPr="00AB0F31">
        <w:rPr>
          <w:i/>
          <w:sz w:val="22"/>
          <w:highlight w:val="lightGray"/>
        </w:rPr>
        <w:t xml:space="preserve"> </w:t>
      </w:r>
      <w:r w:rsidRPr="00AB0F31">
        <w:rPr>
          <w:i/>
          <w:sz w:val="22"/>
          <w:highlight w:val="lightGray"/>
        </w:rPr>
        <w:t>pre-financing</w:t>
      </w:r>
      <w:r w:rsidR="002C788E" w:rsidRPr="00AB0F31">
        <w:rPr>
          <w:i/>
          <w:sz w:val="22"/>
          <w:highlight w:val="lightGray"/>
        </w:rPr>
        <w:t xml:space="preserve"> guarantee</w:t>
      </w:r>
      <w:r w:rsidR="00E611EF" w:rsidRPr="00AB0F31">
        <w:rPr>
          <w:i/>
          <w:sz w:val="22"/>
          <w:highlight w:val="lightGray"/>
        </w:rPr>
        <w:t xml:space="preserve"> amounting to</w:t>
      </w:r>
      <w:r w:rsidRPr="00AB0F31">
        <w:rPr>
          <w:i/>
          <w:sz w:val="22"/>
          <w:highlight w:val="lightGray"/>
        </w:rPr>
        <w:t xml:space="preserve"> the total value of the prefinance</w:t>
      </w:r>
      <w:r>
        <w:rPr>
          <w:i/>
          <w:sz w:val="22"/>
        </w:rPr>
        <w:t>}</w:t>
      </w:r>
      <w:r w:rsidRPr="00045579">
        <w:rPr>
          <w:i/>
          <w:sz w:val="22"/>
        </w:rPr>
        <w:t>.</w:t>
      </w:r>
      <w:r w:rsidR="00E611EF" w:rsidRPr="00764A85">
        <w:rPr>
          <w:sz w:val="22"/>
          <w:highlight w:val="lightGray"/>
        </w:rPr>
        <w:t xml:space="preserve"> </w:t>
      </w:r>
    </w:p>
    <w:p w14:paraId="53AD6D53" w14:textId="77777777" w:rsidR="00076102" w:rsidRDefault="00AB0F31" w:rsidP="00532286">
      <w:pPr>
        <w:pStyle w:val="Text1"/>
        <w:tabs>
          <w:tab w:val="left" w:pos="567"/>
        </w:tabs>
        <w:spacing w:before="120" w:after="0"/>
        <w:ind w:left="567" w:hanging="567"/>
        <w:jc w:val="both"/>
        <w:rPr>
          <w:sz w:val="22"/>
        </w:rPr>
      </w:pPr>
      <w:r>
        <w:rPr>
          <w:sz w:val="22"/>
        </w:rPr>
        <w:t>{</w:t>
      </w:r>
      <w:r w:rsidR="00AB7BC6" w:rsidRPr="00764A85">
        <w:rPr>
          <w:sz w:val="22"/>
        </w:rPr>
        <w:t>4.</w:t>
      </w:r>
      <w:r w:rsidR="00DE4E57" w:rsidRPr="00764A85">
        <w:rPr>
          <w:sz w:val="22"/>
        </w:rPr>
        <w:t>x</w:t>
      </w:r>
      <w:r w:rsidR="00AB7BC6" w:rsidRPr="00764A85">
        <w:rPr>
          <w:sz w:val="22"/>
        </w:rPr>
        <w:tab/>
      </w:r>
      <w:proofErr w:type="gramStart"/>
      <w:r w:rsidR="00076102" w:rsidRPr="00AB0F31">
        <w:rPr>
          <w:i/>
          <w:sz w:val="22"/>
        </w:rPr>
        <w:t>For</w:t>
      </w:r>
      <w:proofErr w:type="gramEnd"/>
      <w:r w:rsidR="00076102" w:rsidRPr="00AB0F31">
        <w:rPr>
          <w:i/>
          <w:sz w:val="22"/>
        </w:rPr>
        <w:t xml:space="preserve"> operating grants</w:t>
      </w:r>
      <w:r w:rsidR="00465AE1" w:rsidRPr="00AB0F31">
        <w:rPr>
          <w:i/>
          <w:sz w:val="22"/>
        </w:rPr>
        <w:t xml:space="preserve"> or specific reporting requirements</w:t>
      </w:r>
      <w:r w:rsidRPr="00AB0F31">
        <w:rPr>
          <w:sz w:val="22"/>
        </w:rPr>
        <w:t xml:space="preserve">: </w:t>
      </w:r>
      <w:r w:rsidRPr="007C249A">
        <w:rPr>
          <w:i/>
          <w:sz w:val="22"/>
        </w:rPr>
        <w:t>[</w:t>
      </w:r>
      <w:r w:rsidR="00076102" w:rsidRPr="007C249A">
        <w:rPr>
          <w:i/>
          <w:sz w:val="22"/>
        </w:rPr>
        <w:t>Specify the applicable reporting requirements and payment schedules</w:t>
      </w:r>
      <w:r w:rsidR="00CD2939" w:rsidRPr="007C249A">
        <w:rPr>
          <w:i/>
          <w:sz w:val="22"/>
        </w:rPr>
        <w:t>/length of reporting period</w:t>
      </w:r>
      <w:r>
        <w:rPr>
          <w:sz w:val="22"/>
        </w:rPr>
        <w:t>]</w:t>
      </w:r>
      <w:r w:rsidRPr="00AB0F31">
        <w:rPr>
          <w:sz w:val="22"/>
        </w:rPr>
        <w:t>}</w:t>
      </w:r>
    </w:p>
    <w:p w14:paraId="3F47E730" w14:textId="77777777" w:rsidR="00E55087" w:rsidRDefault="00E55087" w:rsidP="00532286">
      <w:pPr>
        <w:pStyle w:val="Text1"/>
        <w:tabs>
          <w:tab w:val="left" w:pos="567"/>
        </w:tabs>
        <w:spacing w:before="120" w:after="0"/>
        <w:ind w:left="567" w:hanging="567"/>
        <w:jc w:val="both"/>
        <w:rPr>
          <w:sz w:val="22"/>
        </w:rPr>
      </w:pPr>
    </w:p>
    <w:p w14:paraId="447CF4B4" w14:textId="77777777" w:rsidR="00E55087" w:rsidRPr="00E55087" w:rsidRDefault="00E55087" w:rsidP="00532286">
      <w:pPr>
        <w:pStyle w:val="Text1"/>
        <w:tabs>
          <w:tab w:val="left" w:pos="567"/>
        </w:tabs>
        <w:spacing w:before="120" w:after="0"/>
        <w:ind w:left="567" w:hanging="567"/>
        <w:jc w:val="both"/>
        <w:rPr>
          <w:b/>
          <w:i/>
          <w:sz w:val="22"/>
        </w:rPr>
      </w:pPr>
      <w:r>
        <w:rPr>
          <w:sz w:val="22"/>
        </w:rPr>
        <w:t xml:space="preserve">Payments will be made in the following bank account: </w:t>
      </w:r>
      <w:r w:rsidRPr="00E55087">
        <w:rPr>
          <w:b/>
          <w:i/>
          <w:sz w:val="22"/>
        </w:rPr>
        <w:t>[insert Bank, IBAN and swift code]</w:t>
      </w:r>
    </w:p>
    <w:p w14:paraId="08C4762F"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14:paraId="73F6A5EA" w14:textId="77777777" w:rsidR="00C2718F" w:rsidRPr="00764A85" w:rsidRDefault="002E60D5" w:rsidP="00532286">
      <w:pPr>
        <w:spacing w:before="120"/>
        <w:ind w:left="567" w:hanging="567"/>
        <w:jc w:val="both"/>
        <w:rPr>
          <w:sz w:val="22"/>
        </w:rPr>
      </w:pPr>
      <w:r w:rsidRPr="00764A85">
        <w:rPr>
          <w:sz w:val="22"/>
        </w:rPr>
        <w:lastRenderedPageBreak/>
        <w:t>5.1</w:t>
      </w:r>
      <w:r w:rsidRPr="00764A85">
        <w:rPr>
          <w:sz w:val="22"/>
        </w:rPr>
        <w:tab/>
      </w:r>
      <w:r w:rsidR="00C2718F" w:rsidRPr="00764A85">
        <w:rPr>
          <w:sz w:val="22"/>
        </w:rPr>
        <w:t xml:space="preserve">Any communication relating to this </w:t>
      </w:r>
      <w:r w:rsidR="00C60A6D" w:rsidRPr="00764A85">
        <w:rPr>
          <w:sz w:val="22"/>
        </w:rPr>
        <w:t xml:space="preserve">Contract </w:t>
      </w:r>
      <w:r w:rsidR="0009787A" w:rsidRPr="00764A85">
        <w:rPr>
          <w:sz w:val="22"/>
        </w:rPr>
        <w:t xml:space="preserve">shall </w:t>
      </w:r>
      <w:r w:rsidR="00C2718F" w:rsidRPr="00764A85">
        <w:rPr>
          <w:sz w:val="22"/>
        </w:rPr>
        <w:t>be in writing, state the number and title of the Action and be sent to the following addresses:</w:t>
      </w:r>
    </w:p>
    <w:p w14:paraId="5847EEBA" w14:textId="77777777" w:rsidR="00C2718F" w:rsidRDefault="00C2718F" w:rsidP="00532286">
      <w:pPr>
        <w:spacing w:before="120"/>
        <w:ind w:left="567"/>
        <w:jc w:val="both"/>
        <w:rPr>
          <w:sz w:val="22"/>
          <w:u w:val="single"/>
        </w:rPr>
      </w:pPr>
      <w:r w:rsidRPr="00764A85">
        <w:rPr>
          <w:sz w:val="22"/>
          <w:u w:val="single"/>
        </w:rPr>
        <w:t>For the Contracting Authority</w:t>
      </w:r>
    </w:p>
    <w:p w14:paraId="5A9E44FD" w14:textId="77777777" w:rsidR="00AB0F31" w:rsidRPr="00764A85" w:rsidRDefault="00AB0F31" w:rsidP="00532286">
      <w:pPr>
        <w:spacing w:before="120"/>
        <w:ind w:left="567"/>
        <w:jc w:val="both"/>
        <w:rPr>
          <w:sz w:val="22"/>
          <w:u w:val="single"/>
        </w:rPr>
      </w:pPr>
      <w:r>
        <w:rPr>
          <w:i/>
          <w:sz w:val="22"/>
        </w:rPr>
        <w:t>[insert address</w:t>
      </w:r>
      <w:r w:rsidRPr="00045579">
        <w:rPr>
          <w:i/>
          <w:sz w:val="22"/>
        </w:rPr>
        <w:t>]</w:t>
      </w:r>
    </w:p>
    <w:p w14:paraId="04C97B93" w14:textId="77777777" w:rsidR="00C2718F" w:rsidRPr="00764A85" w:rsidRDefault="00C2718F" w:rsidP="00532286">
      <w:pPr>
        <w:spacing w:before="120"/>
        <w:ind w:left="567"/>
        <w:jc w:val="both"/>
        <w:rPr>
          <w:sz w:val="22"/>
        </w:rPr>
      </w:pPr>
      <w:r w:rsidRPr="00764A85">
        <w:rPr>
          <w:sz w:val="22"/>
          <w:u w:val="single"/>
        </w:rPr>
        <w:t xml:space="preserve">For the </w:t>
      </w:r>
      <w:r w:rsidR="00AB0F31">
        <w:rPr>
          <w:sz w:val="22"/>
          <w:u w:val="single"/>
        </w:rPr>
        <w:t>Beneficiary:</w:t>
      </w:r>
    </w:p>
    <w:p w14:paraId="40966BD4" w14:textId="77777777" w:rsidR="00AB0F31" w:rsidRDefault="00AB0F31" w:rsidP="00D46EF8">
      <w:pPr>
        <w:spacing w:before="120"/>
        <w:ind w:left="567" w:hanging="567"/>
        <w:jc w:val="both"/>
        <w:rPr>
          <w:i/>
          <w:sz w:val="22"/>
        </w:rPr>
      </w:pPr>
      <w:r>
        <w:rPr>
          <w:sz w:val="22"/>
        </w:rPr>
        <w:tab/>
      </w:r>
      <w:r w:rsidRPr="00AB0F31">
        <w:rPr>
          <w:i/>
          <w:sz w:val="22"/>
        </w:rPr>
        <w:t>[insert address]</w:t>
      </w:r>
    </w:p>
    <w:p w14:paraId="65B36B0C" w14:textId="77777777" w:rsidR="00994862" w:rsidRPr="00994862" w:rsidRDefault="00994862" w:rsidP="00994862">
      <w:pPr>
        <w:spacing w:before="120"/>
        <w:ind w:left="567" w:hanging="567"/>
        <w:jc w:val="both"/>
        <w:rPr>
          <w:i/>
          <w:sz w:val="22"/>
        </w:rPr>
      </w:pPr>
      <w:r>
        <w:rPr>
          <w:i/>
          <w:sz w:val="22"/>
        </w:rPr>
        <w:tab/>
      </w:r>
      <w:r w:rsidRPr="00994862">
        <w:rPr>
          <w:i/>
          <w:sz w:val="22"/>
          <w:highlight w:val="lightGray"/>
        </w:rPr>
        <w:t>{in cases where a third institution is funding through SADC</w:t>
      </w:r>
      <w:proofErr w:type="gramStart"/>
      <w:r w:rsidRPr="00994862">
        <w:rPr>
          <w:i/>
          <w:sz w:val="22"/>
          <w:highlight w:val="lightGray"/>
        </w:rPr>
        <w:t>}</w:t>
      </w:r>
      <w:r>
        <w:rPr>
          <w:i/>
          <w:sz w:val="22"/>
        </w:rPr>
        <w:t>:</w:t>
      </w:r>
      <w:r w:rsidRPr="00994862">
        <w:rPr>
          <w:sz w:val="22"/>
          <w:u w:val="single"/>
        </w:rPr>
        <w:t>For</w:t>
      </w:r>
      <w:proofErr w:type="gramEnd"/>
      <w:r w:rsidRPr="00994862">
        <w:rPr>
          <w:sz w:val="22"/>
          <w:u w:val="single"/>
        </w:rPr>
        <w:t xml:space="preserve"> the Donor</w:t>
      </w:r>
      <w:r w:rsidRPr="00994862">
        <w:rPr>
          <w:sz w:val="22"/>
        </w:rPr>
        <w:t>:</w:t>
      </w:r>
    </w:p>
    <w:p w14:paraId="2F1E8CB1" w14:textId="77777777" w:rsidR="00994862" w:rsidRPr="00994862" w:rsidRDefault="00994862" w:rsidP="00D46EF8">
      <w:pPr>
        <w:spacing w:before="120"/>
        <w:ind w:left="567" w:hanging="567"/>
        <w:jc w:val="both"/>
        <w:rPr>
          <w:sz w:val="22"/>
        </w:rPr>
      </w:pPr>
      <w:r>
        <w:rPr>
          <w:sz w:val="22"/>
        </w:rPr>
        <w:tab/>
      </w:r>
      <w:r w:rsidRPr="00AB0F31">
        <w:rPr>
          <w:i/>
          <w:sz w:val="22"/>
        </w:rPr>
        <w:t>[insert address]</w:t>
      </w:r>
    </w:p>
    <w:p w14:paraId="42083A44" w14:textId="77777777" w:rsidR="00757FB8" w:rsidRPr="00DF6321" w:rsidRDefault="00AB0F31" w:rsidP="00D46EF8">
      <w:pPr>
        <w:spacing w:before="120"/>
        <w:ind w:left="567" w:hanging="567"/>
        <w:jc w:val="both"/>
        <w:rPr>
          <w:i/>
          <w:sz w:val="22"/>
        </w:rPr>
      </w:pPr>
      <w:r w:rsidRPr="00764A85">
        <w:rPr>
          <w:sz w:val="22"/>
        </w:rPr>
        <w:t xml:space="preserve"> </w:t>
      </w:r>
      <w:r w:rsidR="00757FB8" w:rsidRPr="00764A85">
        <w:rPr>
          <w:sz w:val="22"/>
          <w:highlight w:val="lightGray"/>
        </w:rPr>
        <w:t>5.2</w:t>
      </w:r>
      <w:r w:rsidR="00757FB8" w:rsidRPr="00764A85">
        <w:rPr>
          <w:sz w:val="22"/>
          <w:highlight w:val="lightGray"/>
        </w:rPr>
        <w:tab/>
      </w:r>
      <w:r w:rsidR="00BF61DF">
        <w:rPr>
          <w:sz w:val="22"/>
          <w:highlight w:val="lightGray"/>
        </w:rPr>
        <w:t>{</w:t>
      </w:r>
      <w:r w:rsidR="00757FB8" w:rsidRPr="00764A85">
        <w:rPr>
          <w:sz w:val="22"/>
          <w:highlight w:val="lightGray"/>
        </w:rPr>
        <w:t xml:space="preserve">The </w:t>
      </w:r>
      <w:r w:rsidR="00886713" w:rsidRPr="00764A85">
        <w:rPr>
          <w:sz w:val="22"/>
          <w:highlight w:val="lightGray"/>
        </w:rPr>
        <w:t xml:space="preserve">expenditure </w:t>
      </w:r>
      <w:r w:rsidR="00757FB8" w:rsidRPr="00764A85">
        <w:rPr>
          <w:sz w:val="22"/>
          <w:highlight w:val="lightGray"/>
        </w:rPr>
        <w:t xml:space="preserve">verification(s) referred to in Article </w:t>
      </w:r>
      <w:r w:rsidR="00A028CE" w:rsidRPr="00764A85">
        <w:rPr>
          <w:sz w:val="22"/>
          <w:highlight w:val="lightGray"/>
        </w:rPr>
        <w:t>15</w:t>
      </w:r>
      <w:r w:rsidR="00886713" w:rsidRPr="00764A85">
        <w:rPr>
          <w:sz w:val="22"/>
          <w:highlight w:val="lightGray"/>
        </w:rPr>
        <w:t>.7</w:t>
      </w:r>
      <w:r w:rsidR="00757FB8" w:rsidRPr="00764A85">
        <w:rPr>
          <w:sz w:val="22"/>
          <w:highlight w:val="lightGray"/>
        </w:rPr>
        <w:t xml:space="preserve"> of Annex II will be carried out </w:t>
      </w:r>
      <w:r w:rsidR="00E828AA" w:rsidRPr="00764A85">
        <w:rPr>
          <w:sz w:val="22"/>
          <w:highlight w:val="lightGray"/>
        </w:rPr>
        <w:t>[</w:t>
      </w:r>
      <w:r w:rsidR="00757FB8" w:rsidRPr="00BF61DF">
        <w:rPr>
          <w:i/>
          <w:sz w:val="22"/>
          <w:highlight w:val="lightGray"/>
        </w:rPr>
        <w:t xml:space="preserve">by the </w:t>
      </w:r>
      <w:r w:rsidR="00CD2939" w:rsidRPr="00BF61DF">
        <w:rPr>
          <w:i/>
          <w:sz w:val="22"/>
          <w:highlight w:val="lightGray"/>
        </w:rPr>
        <w:t>Contracting Authority</w:t>
      </w:r>
      <w:r w:rsidR="00757FB8" w:rsidRPr="00BF61DF">
        <w:rPr>
          <w:i/>
          <w:sz w:val="22"/>
          <w:highlight w:val="lightGray"/>
        </w:rPr>
        <w:t xml:space="preserve"> or any external </w:t>
      </w:r>
      <w:r w:rsidR="00886713" w:rsidRPr="00BF61DF">
        <w:rPr>
          <w:i/>
          <w:sz w:val="22"/>
          <w:highlight w:val="lightGray"/>
        </w:rPr>
        <w:t>body</w:t>
      </w:r>
      <w:r w:rsidR="00757FB8" w:rsidRPr="00BF61DF">
        <w:rPr>
          <w:i/>
          <w:sz w:val="22"/>
          <w:highlight w:val="lightGray"/>
        </w:rPr>
        <w:t xml:space="preserve"> authorised by </w:t>
      </w:r>
      <w:r w:rsidR="00BF61DF">
        <w:rPr>
          <w:i/>
          <w:sz w:val="22"/>
          <w:highlight w:val="lightGray"/>
        </w:rPr>
        <w:t>SADC and</w:t>
      </w:r>
      <w:r w:rsidR="00751F52">
        <w:rPr>
          <w:i/>
          <w:sz w:val="22"/>
          <w:highlight w:val="lightGray"/>
        </w:rPr>
        <w:t>/</w:t>
      </w:r>
      <w:r w:rsidR="00BF61DF" w:rsidRPr="00BF61DF">
        <w:rPr>
          <w:i/>
          <w:sz w:val="22"/>
          <w:highlight w:val="lightGray"/>
        </w:rPr>
        <w:t>or the donor</w:t>
      </w:r>
      <w:r w:rsidR="00BF61DF">
        <w:rPr>
          <w:sz w:val="22"/>
          <w:highlight w:val="lightGray"/>
        </w:rPr>
        <w:t>]</w:t>
      </w:r>
      <w:r w:rsidR="00886713" w:rsidRPr="00F13D45">
        <w:rPr>
          <w:rStyle w:val="FootnoteReference"/>
          <w:sz w:val="22"/>
          <w:highlight w:val="lightGray"/>
        </w:rPr>
        <w:footnoteReference w:id="2"/>
      </w:r>
      <w:r w:rsidR="00757FB8" w:rsidRPr="00683DFD">
        <w:rPr>
          <w:sz w:val="22"/>
          <w:highlight w:val="lightGray"/>
        </w:rPr>
        <w:t xml:space="preserve"> </w:t>
      </w:r>
      <w:r w:rsidR="00994862" w:rsidRPr="00DF6321">
        <w:rPr>
          <w:i/>
          <w:sz w:val="22"/>
        </w:rPr>
        <w:t xml:space="preserve">[insert </w:t>
      </w:r>
      <w:r w:rsidR="00757FB8" w:rsidRPr="00DF6321">
        <w:rPr>
          <w:i/>
          <w:sz w:val="22"/>
        </w:rPr>
        <w:t>n</w:t>
      </w:r>
      <w:r w:rsidR="00BF61DF" w:rsidRPr="00DF6321">
        <w:rPr>
          <w:i/>
          <w:sz w:val="22"/>
        </w:rPr>
        <w:t xml:space="preserve">ame, address and telephone </w:t>
      </w:r>
      <w:r w:rsidR="00757FB8" w:rsidRPr="00DF6321">
        <w:rPr>
          <w:i/>
          <w:sz w:val="22"/>
        </w:rPr>
        <w:t>numbers</w:t>
      </w:r>
      <w:r w:rsidR="00994862" w:rsidRPr="00DF6321">
        <w:rPr>
          <w:i/>
          <w:sz w:val="22"/>
        </w:rPr>
        <w:t>]}</w:t>
      </w:r>
      <w:r w:rsidR="00757FB8" w:rsidRPr="00DF6321">
        <w:rPr>
          <w:i/>
          <w:sz w:val="22"/>
        </w:rPr>
        <w:t>.</w:t>
      </w:r>
    </w:p>
    <w:p w14:paraId="50B025FB" w14:textId="77777777" w:rsidR="00152582" w:rsidRPr="00DC3162" w:rsidRDefault="00152582" w:rsidP="00764A85">
      <w:pPr>
        <w:pStyle w:val="Text1"/>
        <w:keepNext/>
        <w:spacing w:before="240" w:after="0"/>
        <w:ind w:left="567" w:hanging="567"/>
        <w:jc w:val="both"/>
        <w:rPr>
          <w:b/>
        </w:rPr>
      </w:pPr>
      <w:r w:rsidRPr="00DC3162">
        <w:rPr>
          <w:b/>
        </w:rPr>
        <w:t>Article 6 – Secondary procurement</w:t>
      </w:r>
      <w:r w:rsidR="00637C18" w:rsidRPr="00DC3162">
        <w:rPr>
          <w:b/>
        </w:rPr>
        <w:t>/subcontracting</w:t>
      </w:r>
      <w:r w:rsidR="00C37ACA" w:rsidRPr="00DC3162">
        <w:rPr>
          <w:b/>
        </w:rPr>
        <w:t>/rule of nationality and origin</w:t>
      </w:r>
    </w:p>
    <w:p w14:paraId="10AE01E0" w14:textId="77777777" w:rsidR="00152582" w:rsidRPr="00DC3162" w:rsidRDefault="00152582" w:rsidP="00764A85">
      <w:pPr>
        <w:pStyle w:val="Text1"/>
        <w:keepNext/>
        <w:spacing w:before="240" w:after="0"/>
        <w:ind w:left="567" w:hanging="567"/>
        <w:jc w:val="both"/>
        <w:rPr>
          <w:i/>
          <w:sz w:val="22"/>
          <w:szCs w:val="22"/>
        </w:rPr>
      </w:pPr>
      <w:r w:rsidRPr="00DC3162">
        <w:rPr>
          <w:sz w:val="22"/>
          <w:szCs w:val="22"/>
        </w:rPr>
        <w:t xml:space="preserve">6.1. The maximum amount of the action that can be subcontracted to third parties will be </w:t>
      </w:r>
      <w:r w:rsidRPr="00DC3162">
        <w:rPr>
          <w:i/>
          <w:sz w:val="22"/>
          <w:szCs w:val="22"/>
        </w:rPr>
        <w:t>[insert percent</w:t>
      </w:r>
      <w:r w:rsidR="009603CD" w:rsidRPr="00DC3162">
        <w:rPr>
          <w:i/>
          <w:sz w:val="22"/>
          <w:szCs w:val="22"/>
        </w:rPr>
        <w:t>age</w:t>
      </w:r>
      <w:r w:rsidR="003A67D3" w:rsidRPr="00DC3162">
        <w:rPr>
          <w:i/>
          <w:sz w:val="22"/>
          <w:szCs w:val="22"/>
        </w:rPr>
        <w:t xml:space="preserve"> related to contribution or cost of the action depending on call</w:t>
      </w:r>
      <w:r w:rsidRPr="00DC3162">
        <w:rPr>
          <w:i/>
          <w:sz w:val="22"/>
          <w:szCs w:val="22"/>
        </w:rPr>
        <w:t>]</w:t>
      </w:r>
    </w:p>
    <w:p w14:paraId="7E8AB33B" w14:textId="77777777" w:rsidR="00152582" w:rsidRDefault="00152582" w:rsidP="00764A85">
      <w:pPr>
        <w:pStyle w:val="Text1"/>
        <w:keepNext/>
        <w:spacing w:before="240" w:after="0"/>
        <w:ind w:left="567" w:hanging="567"/>
        <w:jc w:val="both"/>
        <w:rPr>
          <w:i/>
          <w:sz w:val="22"/>
          <w:szCs w:val="22"/>
        </w:rPr>
      </w:pPr>
      <w:r w:rsidRPr="00DC3162">
        <w:rPr>
          <w:sz w:val="22"/>
          <w:szCs w:val="22"/>
        </w:rPr>
        <w:t>6.2. The beneficiaries should follow the procurement rules of</w:t>
      </w:r>
      <w:r w:rsidRPr="00DC3162">
        <w:rPr>
          <w:b/>
          <w:sz w:val="22"/>
          <w:szCs w:val="22"/>
        </w:rPr>
        <w:t xml:space="preserve"> </w:t>
      </w:r>
      <w:r w:rsidRPr="00DC3162">
        <w:rPr>
          <w:i/>
          <w:sz w:val="22"/>
          <w:szCs w:val="22"/>
        </w:rPr>
        <w:t>[insert SADC, Member State where the action is taking place or other donor’s rules according to the case].</w:t>
      </w:r>
    </w:p>
    <w:p w14:paraId="2A0ADBDD" w14:textId="77777777" w:rsidR="00C76288" w:rsidRPr="00C76288" w:rsidRDefault="00C76288" w:rsidP="00C76288">
      <w:pPr>
        <w:pStyle w:val="Text1"/>
        <w:keepNext/>
        <w:spacing w:before="240" w:after="0"/>
        <w:ind w:left="567"/>
        <w:jc w:val="both"/>
        <w:rPr>
          <w:i/>
          <w:sz w:val="22"/>
          <w:szCs w:val="22"/>
        </w:rPr>
      </w:pPr>
      <w:r w:rsidRPr="00C76288">
        <w:rPr>
          <w:i/>
          <w:sz w:val="22"/>
          <w:szCs w:val="22"/>
        </w:rPr>
        <w:t>To the extent relevant, the Beneficiary(</w:t>
      </w:r>
      <w:proofErr w:type="spellStart"/>
      <w:r w:rsidRPr="00C76288">
        <w:rPr>
          <w:i/>
          <w:sz w:val="22"/>
          <w:szCs w:val="22"/>
        </w:rPr>
        <w:t>ies</w:t>
      </w:r>
      <w:proofErr w:type="spellEnd"/>
      <w:r w:rsidRPr="00C76288">
        <w:rPr>
          <w:i/>
          <w:sz w:val="22"/>
          <w:szCs w:val="22"/>
        </w:rPr>
        <w:t>) shall ensure that the conditions applicable to them under Articles 3, 4, 6 and 16 of these General Conditions are also applicable to contractors awarded an implementation contract.</w:t>
      </w:r>
    </w:p>
    <w:p w14:paraId="7DA189D1" w14:textId="77777777" w:rsidR="00C37ACA" w:rsidRDefault="00C37ACA" w:rsidP="00764A85">
      <w:pPr>
        <w:pStyle w:val="Text1"/>
        <w:keepNext/>
        <w:spacing w:before="240" w:after="0"/>
        <w:ind w:left="567" w:hanging="567"/>
        <w:jc w:val="both"/>
        <w:rPr>
          <w:i/>
          <w:sz w:val="22"/>
          <w:szCs w:val="22"/>
        </w:rPr>
      </w:pPr>
      <w:r w:rsidRPr="00DC3162">
        <w:rPr>
          <w:sz w:val="22"/>
          <w:szCs w:val="22"/>
        </w:rPr>
        <w:t>6.3. The subcontracting will be subject to the following rules of nationality and origin</w:t>
      </w:r>
      <w:r w:rsidRPr="00DC3162">
        <w:rPr>
          <w:i/>
          <w:sz w:val="22"/>
          <w:szCs w:val="22"/>
        </w:rPr>
        <w:t xml:space="preserve"> [insert]</w:t>
      </w:r>
    </w:p>
    <w:p w14:paraId="393123A4" w14:textId="77777777" w:rsidR="00C76288" w:rsidRPr="00C76288" w:rsidRDefault="00C76288" w:rsidP="00C76288">
      <w:pPr>
        <w:pStyle w:val="Text1"/>
        <w:keepNext/>
        <w:spacing w:before="240" w:after="0"/>
        <w:ind w:left="567"/>
        <w:jc w:val="both"/>
        <w:rPr>
          <w:i/>
          <w:sz w:val="22"/>
          <w:szCs w:val="22"/>
        </w:rPr>
      </w:pPr>
      <w:r w:rsidRPr="00C76288">
        <w:rPr>
          <w:i/>
          <w:sz w:val="22"/>
          <w:szCs w:val="22"/>
        </w:rPr>
        <w:t>If the Beneficiary(</w:t>
      </w:r>
      <w:proofErr w:type="spellStart"/>
      <w:r w:rsidRPr="00C76288">
        <w:rPr>
          <w:i/>
          <w:sz w:val="22"/>
          <w:szCs w:val="22"/>
        </w:rPr>
        <w:t>ies</w:t>
      </w:r>
      <w:proofErr w:type="spellEnd"/>
      <w:r w:rsidRPr="00C76288">
        <w:rPr>
          <w:i/>
          <w:sz w:val="22"/>
          <w:szCs w:val="22"/>
        </w:rPr>
        <w:t xml:space="preserve">) </w:t>
      </w:r>
      <w:proofErr w:type="gramStart"/>
      <w:r w:rsidRPr="00C76288">
        <w:rPr>
          <w:i/>
          <w:sz w:val="22"/>
          <w:szCs w:val="22"/>
        </w:rPr>
        <w:t>has to</w:t>
      </w:r>
      <w:proofErr w:type="gramEnd"/>
      <w:r w:rsidRPr="00C76288">
        <w:rPr>
          <w:i/>
          <w:sz w:val="22"/>
          <w:szCs w:val="22"/>
        </w:rPr>
        <w:t xml:space="preserve"> conclude implementation of the contracts (subcontracting) with contractors in order to carry out the Action, these may only cover a limited portion of the Action and shall respect the contract-award rules and rules of nationality and origin specific to this tender and specified in the Special Conditions of this Contract.</w:t>
      </w:r>
    </w:p>
    <w:p w14:paraId="2D312937" w14:textId="77777777" w:rsidR="00C2718F" w:rsidRPr="00764A85" w:rsidRDefault="00152582" w:rsidP="00764A85">
      <w:pPr>
        <w:pStyle w:val="Text1"/>
        <w:keepNext/>
        <w:spacing w:before="240" w:after="0"/>
        <w:ind w:left="567" w:hanging="567"/>
        <w:jc w:val="both"/>
        <w:rPr>
          <w:b/>
          <w:i/>
        </w:rPr>
      </w:pPr>
      <w:r>
        <w:rPr>
          <w:b/>
        </w:rPr>
        <w:t>Article 7</w:t>
      </w:r>
      <w:r w:rsidR="00C2718F" w:rsidRPr="00764A85">
        <w:rPr>
          <w:b/>
        </w:rPr>
        <w:t xml:space="preserve"> </w:t>
      </w:r>
      <w:r w:rsidR="00B479BA" w:rsidRPr="00764A85">
        <w:rPr>
          <w:b/>
        </w:rPr>
        <w:t>—</w:t>
      </w:r>
      <w:r w:rsidR="00C2718F" w:rsidRPr="00764A85">
        <w:rPr>
          <w:b/>
        </w:rPr>
        <w:t xml:space="preserve"> Annexes</w:t>
      </w:r>
    </w:p>
    <w:p w14:paraId="5206E644"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Special Conditions and form an integral part of the </w:t>
      </w:r>
      <w:r w:rsidR="00C60A6D" w:rsidRPr="00764A85">
        <w:rPr>
          <w:sz w:val="22"/>
        </w:rPr>
        <w:t>Contract</w:t>
      </w:r>
      <w:r w:rsidRPr="00764A85">
        <w:rPr>
          <w:sz w:val="22"/>
        </w:rPr>
        <w:t>:</w:t>
      </w:r>
    </w:p>
    <w:p w14:paraId="6DBC9CE3"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Description of the Action</w:t>
      </w:r>
      <w:r w:rsidR="00BE7035" w:rsidRPr="0062471B">
        <w:rPr>
          <w:sz w:val="22"/>
        </w:rPr>
        <w:t xml:space="preserve"> (i</w:t>
      </w:r>
      <w:r w:rsidR="00BE2E33" w:rsidRPr="0062471B">
        <w:rPr>
          <w:sz w:val="22"/>
        </w:rPr>
        <w:t>ncluding the Logical Framework of the Project</w:t>
      </w:r>
      <w:r w:rsidR="00BE2E33" w:rsidRPr="0062471B">
        <w:rPr>
          <w:sz w:val="22"/>
        </w:rPr>
        <w:br/>
      </w:r>
      <w:r w:rsidR="00C11C4C" w:rsidRPr="0062471B">
        <w:rPr>
          <w:sz w:val="22"/>
        </w:rPr>
        <w:t xml:space="preserve">and the </w:t>
      </w:r>
      <w:r w:rsidR="00BE2E33" w:rsidRPr="0062471B">
        <w:rPr>
          <w:sz w:val="22"/>
        </w:rPr>
        <w:t>Concept Note</w:t>
      </w:r>
      <w:r w:rsidR="00E87A8B" w:rsidRPr="0062471B">
        <w:rPr>
          <w:sz w:val="22"/>
        </w:rPr>
        <w:t>)</w:t>
      </w:r>
    </w:p>
    <w:p w14:paraId="77DB96AA"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General Co</w:t>
      </w:r>
      <w:r w:rsidR="007C249A">
        <w:rPr>
          <w:sz w:val="22"/>
        </w:rPr>
        <w:t xml:space="preserve">nditions, </w:t>
      </w:r>
    </w:p>
    <w:p w14:paraId="3E2FEEAB" w14:textId="77777777" w:rsidR="00C2718F" w:rsidRPr="00764A85" w:rsidRDefault="00C2718F" w:rsidP="00532286">
      <w:pPr>
        <w:spacing w:before="120"/>
        <w:ind w:left="1843" w:hanging="1276"/>
        <w:jc w:val="both"/>
      </w:pPr>
      <w:r w:rsidRPr="00764A85">
        <w:rPr>
          <w:sz w:val="22"/>
        </w:rPr>
        <w:t xml:space="preserve">Annex III: </w:t>
      </w:r>
      <w:r w:rsidRPr="00764A85">
        <w:rPr>
          <w:sz w:val="22"/>
        </w:rPr>
        <w:tab/>
      </w:r>
      <w:r w:rsidR="00C47EC2">
        <w:rPr>
          <w:sz w:val="22"/>
        </w:rPr>
        <w:t>{</w:t>
      </w:r>
      <w:r w:rsidRPr="00F13D45">
        <w:rPr>
          <w:sz w:val="22"/>
          <w:highlight w:val="lightGray"/>
        </w:rPr>
        <w:t>Budget for the Action</w:t>
      </w:r>
      <w:r w:rsidR="00121C26" w:rsidRPr="00F13D45">
        <w:rPr>
          <w:sz w:val="22"/>
          <w:highlight w:val="lightGray"/>
        </w:rPr>
        <w:t xml:space="preserve"> (</w:t>
      </w:r>
      <w:r w:rsidR="00532286" w:rsidRPr="00F13D45">
        <w:rPr>
          <w:sz w:val="22"/>
          <w:highlight w:val="lightGray"/>
        </w:rPr>
        <w:t>works</w:t>
      </w:r>
      <w:r w:rsidR="00121C26" w:rsidRPr="00F13D45">
        <w:rPr>
          <w:sz w:val="22"/>
          <w:highlight w:val="lightGray"/>
        </w:rPr>
        <w:t>heets 1</w:t>
      </w:r>
      <w:r w:rsidR="003F7402" w:rsidRPr="00F13D45">
        <w:rPr>
          <w:sz w:val="22"/>
          <w:highlight w:val="lightGray"/>
        </w:rPr>
        <w:t>,</w:t>
      </w:r>
      <w:r w:rsidR="00410B99" w:rsidRPr="00F13D45">
        <w:rPr>
          <w:sz w:val="22"/>
          <w:highlight w:val="lightGray"/>
        </w:rPr>
        <w:t xml:space="preserve"> </w:t>
      </w:r>
      <w:r w:rsidR="003F7402" w:rsidRPr="00F13D45">
        <w:rPr>
          <w:sz w:val="22"/>
          <w:highlight w:val="lightGray"/>
        </w:rPr>
        <w:t>2</w:t>
      </w:r>
      <w:r w:rsidR="00121C26" w:rsidRPr="00F13D45">
        <w:rPr>
          <w:sz w:val="22"/>
          <w:highlight w:val="lightGray"/>
        </w:rPr>
        <w:t xml:space="preserve"> and 3)</w:t>
      </w:r>
      <w:r w:rsidR="00C47EC2">
        <w:rPr>
          <w:sz w:val="22"/>
        </w:rPr>
        <w:t>}</w:t>
      </w:r>
      <w:r w:rsidR="00141F49">
        <w:rPr>
          <w:sz w:val="22"/>
        </w:rPr>
        <w:t xml:space="preserve"> </w:t>
      </w:r>
      <w:r w:rsidR="00C47EC2">
        <w:rPr>
          <w:sz w:val="22"/>
        </w:rPr>
        <w:t>{</w:t>
      </w:r>
      <w:r w:rsidR="00BF61DF" w:rsidRPr="00BF61DF">
        <w:rPr>
          <w:i/>
          <w:sz w:val="22"/>
        </w:rPr>
        <w:t xml:space="preserve">for </w:t>
      </w:r>
      <w:r w:rsidR="00E64386" w:rsidRPr="00BF61DF">
        <w:rPr>
          <w:i/>
          <w:sz w:val="22"/>
        </w:rPr>
        <w:t>operating grants</w:t>
      </w:r>
      <w:r w:rsidR="00E64386" w:rsidRPr="00764A85">
        <w:rPr>
          <w:sz w:val="22"/>
        </w:rPr>
        <w:t xml:space="preserve">: </w:t>
      </w:r>
      <w:r w:rsidR="00E64386" w:rsidRPr="00F13D45">
        <w:rPr>
          <w:sz w:val="22"/>
          <w:highlight w:val="lightGray"/>
        </w:rPr>
        <w:t>operating budget</w:t>
      </w:r>
      <w:r w:rsidR="00C47EC2">
        <w:rPr>
          <w:sz w:val="22"/>
        </w:rPr>
        <w:t>}</w:t>
      </w:r>
    </w:p>
    <w:p w14:paraId="4FE3FA26" w14:textId="77777777" w:rsidR="00C2718F" w:rsidRPr="00764A85" w:rsidRDefault="00C2718F" w:rsidP="00532286">
      <w:pPr>
        <w:spacing w:before="120"/>
        <w:ind w:left="1843" w:hanging="1276"/>
        <w:jc w:val="both"/>
      </w:pPr>
      <w:r w:rsidRPr="00764A85">
        <w:rPr>
          <w:sz w:val="22"/>
        </w:rPr>
        <w:t>Annex IV:</w:t>
      </w:r>
      <w:r w:rsidRPr="00764A85">
        <w:rPr>
          <w:sz w:val="22"/>
        </w:rPr>
        <w:tab/>
      </w:r>
      <w:r w:rsidR="00751F52">
        <w:rPr>
          <w:sz w:val="22"/>
        </w:rPr>
        <w:t>Standard request for payment</w:t>
      </w:r>
    </w:p>
    <w:p w14:paraId="78007073" w14:textId="77777777" w:rsidR="00C2718F" w:rsidRPr="00764A85" w:rsidRDefault="00C2718F" w:rsidP="00532286">
      <w:pPr>
        <w:spacing w:before="120"/>
        <w:ind w:left="1843" w:hanging="1276"/>
        <w:jc w:val="both"/>
      </w:pPr>
      <w:r w:rsidRPr="00764A85">
        <w:rPr>
          <w:sz w:val="22"/>
        </w:rPr>
        <w:t xml:space="preserve">Annex </w:t>
      </w:r>
      <w:r w:rsidR="00751F52">
        <w:rPr>
          <w:sz w:val="22"/>
        </w:rPr>
        <w:t>V:</w:t>
      </w:r>
      <w:r w:rsidR="00751F52">
        <w:rPr>
          <w:sz w:val="22"/>
        </w:rPr>
        <w:tab/>
        <w:t xml:space="preserve">Models for interim and final narrative reports. </w:t>
      </w:r>
    </w:p>
    <w:p w14:paraId="43E6D427" w14:textId="77777777" w:rsidR="00A910C9" w:rsidRDefault="00C2718F" w:rsidP="0090311C">
      <w:pPr>
        <w:spacing w:before="120"/>
        <w:ind w:left="1843" w:hanging="1276"/>
        <w:jc w:val="both"/>
        <w:rPr>
          <w:sz w:val="22"/>
        </w:rPr>
      </w:pPr>
      <w:r w:rsidRPr="00764A85">
        <w:rPr>
          <w:sz w:val="22"/>
        </w:rPr>
        <w:t>Annex VI:</w:t>
      </w:r>
      <w:r w:rsidRPr="00764A85">
        <w:rPr>
          <w:sz w:val="22"/>
        </w:rPr>
        <w:tab/>
      </w:r>
      <w:r w:rsidR="00C47EC2">
        <w:rPr>
          <w:sz w:val="22"/>
        </w:rPr>
        <w:t>{</w:t>
      </w:r>
      <w:r w:rsidR="0090311C" w:rsidRPr="0090311C">
        <w:rPr>
          <w:i/>
          <w:sz w:val="22"/>
        </w:rPr>
        <w:t>for action grants</w:t>
      </w:r>
      <w:r w:rsidR="00751F52">
        <w:rPr>
          <w:sz w:val="22"/>
        </w:rPr>
        <w:t xml:space="preserve">: </w:t>
      </w:r>
      <w:r w:rsidR="00751F52" w:rsidRPr="00751F52">
        <w:rPr>
          <w:sz w:val="22"/>
          <w:highlight w:val="lightGray"/>
        </w:rPr>
        <w:t xml:space="preserve">model </w:t>
      </w:r>
      <w:r w:rsidR="00A910C9" w:rsidRPr="00751F52">
        <w:rPr>
          <w:sz w:val="22"/>
          <w:highlight w:val="lightGray"/>
        </w:rPr>
        <w:t>financial report</w:t>
      </w:r>
      <w:r w:rsidR="0090311C">
        <w:rPr>
          <w:sz w:val="22"/>
        </w:rPr>
        <w:t>}</w:t>
      </w:r>
      <w:r w:rsidR="00141F49">
        <w:rPr>
          <w:sz w:val="22"/>
        </w:rPr>
        <w:t xml:space="preserve"> </w:t>
      </w:r>
      <w:r w:rsidR="0090311C">
        <w:rPr>
          <w:sz w:val="22"/>
        </w:rPr>
        <w:t>{</w:t>
      </w:r>
      <w:r w:rsidR="0090311C" w:rsidRPr="0090311C">
        <w:rPr>
          <w:i/>
          <w:sz w:val="22"/>
        </w:rPr>
        <w:t xml:space="preserve">for </w:t>
      </w:r>
      <w:r w:rsidR="00E64386" w:rsidRPr="0090311C">
        <w:rPr>
          <w:i/>
          <w:sz w:val="22"/>
        </w:rPr>
        <w:t>operating grants</w:t>
      </w:r>
      <w:r w:rsidR="00E64386" w:rsidRPr="0090311C">
        <w:rPr>
          <w:sz w:val="22"/>
        </w:rPr>
        <w:t xml:space="preserve">: </w:t>
      </w:r>
      <w:r w:rsidR="0090311C">
        <w:rPr>
          <w:sz w:val="22"/>
        </w:rPr>
        <w:t>[</w:t>
      </w:r>
      <w:r w:rsidR="00076102" w:rsidRPr="0090311C">
        <w:rPr>
          <w:i/>
          <w:sz w:val="22"/>
        </w:rPr>
        <w:t>annex if specific</w:t>
      </w:r>
      <w:r w:rsidR="00E64386" w:rsidRPr="0090311C">
        <w:rPr>
          <w:i/>
          <w:sz w:val="22"/>
        </w:rPr>
        <w:t xml:space="preserve"> models are to be used for activity reports and financial statements</w:t>
      </w:r>
      <w:r w:rsidR="00141F49">
        <w:rPr>
          <w:sz w:val="22"/>
        </w:rPr>
        <w:t>]</w:t>
      </w:r>
      <w:r w:rsidR="0090311C">
        <w:rPr>
          <w:sz w:val="22"/>
        </w:rPr>
        <w:t>}</w:t>
      </w:r>
    </w:p>
    <w:p w14:paraId="0965B70F" w14:textId="77777777" w:rsidR="00751F52" w:rsidRPr="0090311C" w:rsidRDefault="00751F52" w:rsidP="0090311C">
      <w:pPr>
        <w:spacing w:before="120"/>
        <w:ind w:left="1843" w:hanging="1276"/>
        <w:jc w:val="both"/>
      </w:pPr>
      <w:r>
        <w:rPr>
          <w:sz w:val="22"/>
        </w:rPr>
        <w:t>Annex VII:</w:t>
      </w:r>
      <w:r>
        <w:rPr>
          <w:sz w:val="22"/>
        </w:rPr>
        <w:tab/>
        <w:t>Model report of factual findings and terms of reference for an expenditure verification</w:t>
      </w:r>
    </w:p>
    <w:p w14:paraId="1E2C7A97" w14:textId="77777777" w:rsidR="00940AF1" w:rsidRPr="0094748D" w:rsidRDefault="0090311C" w:rsidP="0094748D">
      <w:pPr>
        <w:spacing w:before="120" w:after="120"/>
        <w:ind w:left="1843" w:hanging="1276"/>
        <w:jc w:val="both"/>
        <w:rPr>
          <w:b/>
          <w:sz w:val="22"/>
        </w:rPr>
      </w:pPr>
      <w:r>
        <w:rPr>
          <w:b/>
          <w:sz w:val="22"/>
        </w:rPr>
        <w:t>{</w:t>
      </w:r>
      <w:r w:rsidR="00C60A6D" w:rsidRPr="00764A85">
        <w:rPr>
          <w:sz w:val="22"/>
          <w:shd w:val="clear" w:color="auto" w:fill="B3B3B3"/>
        </w:rPr>
        <w:t xml:space="preserve">Annex </w:t>
      </w:r>
      <w:r w:rsidR="00751F52">
        <w:rPr>
          <w:sz w:val="22"/>
          <w:shd w:val="clear" w:color="auto" w:fill="B3B3B3"/>
        </w:rPr>
        <w:t>IX</w:t>
      </w:r>
      <w:r w:rsidR="00C60A6D" w:rsidRPr="00764A85">
        <w:rPr>
          <w:sz w:val="22"/>
          <w:shd w:val="clear" w:color="auto" w:fill="B3B3B3"/>
        </w:rPr>
        <w:t>:</w:t>
      </w:r>
      <w:r w:rsidR="00C60A6D" w:rsidRPr="00764A85">
        <w:rPr>
          <w:sz w:val="22"/>
          <w:shd w:val="clear" w:color="auto" w:fill="B3B3B3"/>
        </w:rPr>
        <w:tab/>
        <w:t>Standard template for Transfer of Asset Ownership</w:t>
      </w:r>
      <w:r>
        <w:rPr>
          <w:b/>
          <w:sz w:val="22"/>
        </w:rPr>
        <w:t>}</w:t>
      </w:r>
    </w:p>
    <w:p w14:paraId="2B67B8EA" w14:textId="77777777"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Special Conditions and any Annex thereto, </w:t>
      </w:r>
      <w:r w:rsidRPr="00764A85">
        <w:rPr>
          <w:sz w:val="22"/>
        </w:rPr>
        <w:t xml:space="preserve">the Special Conditions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452DBC7A" w14:textId="77777777" w:rsidR="001A1117" w:rsidRPr="00764A85" w:rsidRDefault="00152582" w:rsidP="00764A85">
      <w:pPr>
        <w:spacing w:before="240"/>
        <w:jc w:val="both"/>
        <w:rPr>
          <w:sz w:val="22"/>
          <w:highlight w:val="lightGray"/>
        </w:rPr>
      </w:pPr>
      <w:r>
        <w:rPr>
          <w:b/>
          <w:highlight w:val="lightGray"/>
        </w:rPr>
        <w:lastRenderedPageBreak/>
        <w:t>[Article 8</w:t>
      </w:r>
      <w:r w:rsidR="00C2718F" w:rsidRPr="00764A85">
        <w:rPr>
          <w:b/>
          <w:highlight w:val="lightGray"/>
        </w:rPr>
        <w:t xml:space="preserve"> </w:t>
      </w:r>
      <w:r w:rsidR="00B479BA" w:rsidRPr="00764A85">
        <w:rPr>
          <w:b/>
          <w:highlight w:val="lightGray"/>
        </w:rPr>
        <w:t>—</w:t>
      </w:r>
      <w:r w:rsidR="00C2718F" w:rsidRPr="00764A85">
        <w:rPr>
          <w:b/>
          <w:highlight w:val="lightGray"/>
        </w:rPr>
        <w:t xml:space="preserve"> Other specific conditions applying to the Action</w:t>
      </w:r>
    </w:p>
    <w:p w14:paraId="06A47B80" w14:textId="77777777" w:rsidR="00C2718F" w:rsidRPr="00764A85" w:rsidRDefault="00C2718F" w:rsidP="00532286">
      <w:pPr>
        <w:spacing w:before="120"/>
        <w:ind w:left="567" w:hanging="567"/>
        <w:jc w:val="both"/>
        <w:rPr>
          <w:sz w:val="22"/>
          <w:highlight w:val="lightGray"/>
        </w:rPr>
      </w:pPr>
      <w:r w:rsidRPr="00764A85">
        <w:rPr>
          <w:sz w:val="22"/>
          <w:highlight w:val="lightGray"/>
        </w:rPr>
        <w:t>7.1</w:t>
      </w:r>
      <w:r w:rsidRPr="00764A85">
        <w:rPr>
          <w:sz w:val="22"/>
          <w:highlight w:val="lightGray"/>
        </w:rPr>
        <w:tab/>
        <w:t xml:space="preserve">The General Conditions </w:t>
      </w:r>
      <w:r w:rsidR="007B51F1">
        <w:rPr>
          <w:sz w:val="22"/>
          <w:highlight w:val="lightGray"/>
        </w:rPr>
        <w:t xml:space="preserve">in Annex II </w:t>
      </w:r>
      <w:r w:rsidRPr="00764A85">
        <w:rPr>
          <w:sz w:val="22"/>
          <w:highlight w:val="lightGray"/>
        </w:rPr>
        <w:t>are supplemented by the following:</w:t>
      </w:r>
    </w:p>
    <w:p w14:paraId="6F22958B" w14:textId="77777777" w:rsidR="00AC1C04" w:rsidRPr="0090311C" w:rsidRDefault="0090311C" w:rsidP="0094748D">
      <w:pPr>
        <w:spacing w:before="120"/>
        <w:ind w:left="567"/>
        <w:jc w:val="both"/>
        <w:rPr>
          <w:i/>
          <w:sz w:val="22"/>
          <w:szCs w:val="22"/>
          <w:lang w:eastAsia="en-GB"/>
        </w:rPr>
      </w:pPr>
      <w:r>
        <w:rPr>
          <w:i/>
          <w:sz w:val="22"/>
          <w:szCs w:val="22"/>
          <w:lang w:eastAsia="en-GB"/>
        </w:rPr>
        <w:t>(</w:t>
      </w:r>
      <w:r w:rsidR="00AC1C04" w:rsidRPr="0090311C">
        <w:rPr>
          <w:i/>
          <w:sz w:val="22"/>
          <w:szCs w:val="22"/>
          <w:lang w:eastAsia="en-GB"/>
        </w:rPr>
        <w:t xml:space="preserve">If any affiliated entity in line with the </w:t>
      </w:r>
      <w:r w:rsidR="00707F09" w:rsidRPr="0090311C">
        <w:rPr>
          <w:i/>
          <w:sz w:val="22"/>
          <w:szCs w:val="22"/>
          <w:lang w:eastAsia="en-GB"/>
        </w:rPr>
        <w:t>g</w:t>
      </w:r>
      <w:r w:rsidR="00AC1C04" w:rsidRPr="0090311C">
        <w:rPr>
          <w:i/>
          <w:sz w:val="22"/>
          <w:szCs w:val="22"/>
          <w:lang w:eastAsia="en-GB"/>
        </w:rPr>
        <w:t>uidelines for applicants</w:t>
      </w:r>
      <w:r>
        <w:rPr>
          <w:i/>
          <w:sz w:val="22"/>
          <w:szCs w:val="22"/>
          <w:lang w:eastAsia="en-GB"/>
        </w:rPr>
        <w:t>)</w:t>
      </w:r>
      <w:r w:rsidR="00AC1C04" w:rsidRPr="0090311C">
        <w:rPr>
          <w:i/>
          <w:sz w:val="22"/>
          <w:szCs w:val="22"/>
          <w:lang w:eastAsia="en-GB"/>
        </w:rPr>
        <w:t>:</w:t>
      </w:r>
    </w:p>
    <w:p w14:paraId="1CCFF09B" w14:textId="77777777" w:rsidR="0056522D" w:rsidRDefault="00D46EF8" w:rsidP="00D46EF8">
      <w:pPr>
        <w:spacing w:before="120"/>
        <w:ind w:left="567" w:hanging="567"/>
        <w:jc w:val="both"/>
        <w:rPr>
          <w:sz w:val="22"/>
          <w:highlight w:val="lightGray"/>
        </w:rPr>
      </w:pPr>
      <w:r>
        <w:rPr>
          <w:sz w:val="22"/>
          <w:highlight w:val="lightGray"/>
        </w:rPr>
        <w:t>[7.1.x</w:t>
      </w:r>
      <w:r>
        <w:rPr>
          <w:sz w:val="22"/>
          <w:highlight w:val="lightGray"/>
        </w:rPr>
        <w:tab/>
      </w:r>
      <w:proofErr w:type="gramStart"/>
      <w:r w:rsidR="0056522D" w:rsidRPr="00764A85">
        <w:rPr>
          <w:sz w:val="22"/>
          <w:highlight w:val="lightGray"/>
        </w:rPr>
        <w:t>For</w:t>
      </w:r>
      <w:proofErr w:type="gramEnd"/>
      <w:r w:rsidR="0056522D" w:rsidRPr="00764A85">
        <w:rPr>
          <w:sz w:val="22"/>
          <w:highlight w:val="lightGray"/>
        </w:rPr>
        <w:t xml:space="preserve"> the purpose of this agreement, the following legal entities are considered as affiliated entities:</w:t>
      </w:r>
    </w:p>
    <w:p w14:paraId="704E2E91" w14:textId="77777777" w:rsidR="0090311C" w:rsidRPr="0090311C" w:rsidRDefault="0090311C" w:rsidP="00D46EF8">
      <w:pPr>
        <w:spacing w:before="120"/>
        <w:ind w:left="567" w:hanging="567"/>
        <w:jc w:val="both"/>
        <w:rPr>
          <w:i/>
          <w:sz w:val="22"/>
          <w:highlight w:val="lightGray"/>
        </w:rPr>
      </w:pPr>
      <w:r w:rsidRPr="0090311C">
        <w:rPr>
          <w:i/>
          <w:sz w:val="22"/>
          <w:highlight w:val="lightGray"/>
        </w:rPr>
        <w:t>[insert name and identification]</w:t>
      </w:r>
    </w:p>
    <w:p w14:paraId="025D5CBA" w14:textId="77777777" w:rsidR="00237B31" w:rsidRPr="00384AAD" w:rsidRDefault="00237B31" w:rsidP="0094748D">
      <w:pPr>
        <w:spacing w:before="240"/>
        <w:ind w:left="567"/>
        <w:jc w:val="both"/>
        <w:rPr>
          <w:sz w:val="22"/>
          <w:highlight w:val="lightGray"/>
        </w:rPr>
      </w:pPr>
      <w:r w:rsidRPr="00384AAD">
        <w:rPr>
          <w:sz w:val="22"/>
          <w:highlight w:val="lightGray"/>
        </w:rPr>
        <w:t>Costs incurred by</w:t>
      </w:r>
      <w:r>
        <w:rPr>
          <w:sz w:val="22"/>
          <w:highlight w:val="lightGray"/>
        </w:rPr>
        <w:t xml:space="preserve"> these</w:t>
      </w:r>
      <w:r w:rsidRPr="00384AAD">
        <w:rPr>
          <w:sz w:val="22"/>
          <w:highlight w:val="lightGray"/>
        </w:rPr>
        <w:t xml:space="preserve"> </w:t>
      </w:r>
      <w:r>
        <w:rPr>
          <w:sz w:val="22"/>
          <w:highlight w:val="lightGray"/>
        </w:rPr>
        <w:t xml:space="preserve">affiliated </w:t>
      </w:r>
      <w:r w:rsidRPr="00384AAD">
        <w:rPr>
          <w:sz w:val="22"/>
          <w:highlight w:val="lightGray"/>
        </w:rPr>
        <w:t xml:space="preserve">entities </w:t>
      </w:r>
      <w:r>
        <w:rPr>
          <w:sz w:val="22"/>
          <w:highlight w:val="lightGray"/>
        </w:rPr>
        <w:t>may</w:t>
      </w:r>
      <w:r w:rsidRPr="00384AAD">
        <w:rPr>
          <w:sz w:val="22"/>
          <w:highlight w:val="lightGray"/>
        </w:rPr>
        <w:t xml:space="preserve"> be accepted as eligible, provided the entities concerned abide by</w:t>
      </w:r>
      <w:r>
        <w:rPr>
          <w:sz w:val="22"/>
          <w:highlight w:val="lightGray"/>
        </w:rPr>
        <w:t xml:space="preserve"> all</w:t>
      </w:r>
      <w:r w:rsidRPr="00384AAD">
        <w:rPr>
          <w:sz w:val="22"/>
          <w:highlight w:val="lightGray"/>
        </w:rPr>
        <w:t xml:space="preserve"> the</w:t>
      </w:r>
      <w:r>
        <w:rPr>
          <w:sz w:val="22"/>
          <w:highlight w:val="lightGray"/>
        </w:rPr>
        <w:t xml:space="preserve"> relevant</w:t>
      </w:r>
      <w:r w:rsidRPr="00384AAD">
        <w:rPr>
          <w:sz w:val="22"/>
          <w:highlight w:val="lightGray"/>
        </w:rPr>
        <w:t xml:space="preserve"> rules applicable to the Beneficiary</w:t>
      </w:r>
      <w:r w:rsidR="00F74001">
        <w:rPr>
          <w:sz w:val="22"/>
          <w:highlight w:val="lightGray"/>
        </w:rPr>
        <w:t>(</w:t>
      </w:r>
      <w:proofErr w:type="spellStart"/>
      <w:r w:rsidR="00F74001">
        <w:rPr>
          <w:sz w:val="22"/>
          <w:highlight w:val="lightGray"/>
        </w:rPr>
        <w:t>ies</w:t>
      </w:r>
      <w:proofErr w:type="spellEnd"/>
      <w:r w:rsidR="00F74001">
        <w:rPr>
          <w:sz w:val="22"/>
          <w:highlight w:val="lightGray"/>
        </w:rPr>
        <w:t>)</w:t>
      </w:r>
      <w:r w:rsidRPr="00384AAD">
        <w:rPr>
          <w:sz w:val="22"/>
          <w:highlight w:val="lightGray"/>
        </w:rPr>
        <w:t xml:space="preserve"> under this </w:t>
      </w:r>
      <w:r w:rsidR="00707F09">
        <w:rPr>
          <w:sz w:val="22"/>
          <w:highlight w:val="lightGray"/>
        </w:rPr>
        <w:t>C</w:t>
      </w:r>
      <w:r w:rsidRPr="00384AAD">
        <w:rPr>
          <w:sz w:val="22"/>
          <w:highlight w:val="lightGray"/>
        </w:rPr>
        <w:t>ontract.</w:t>
      </w:r>
    </w:p>
    <w:p w14:paraId="52BAFC59" w14:textId="77777777" w:rsidR="00AB3569" w:rsidRPr="0090311C" w:rsidRDefault="0090311C" w:rsidP="0094748D">
      <w:pPr>
        <w:spacing w:before="240"/>
        <w:ind w:left="567"/>
        <w:jc w:val="both"/>
        <w:rPr>
          <w:i/>
          <w:sz w:val="22"/>
          <w:szCs w:val="22"/>
          <w:lang w:eastAsia="en-GB"/>
        </w:rPr>
      </w:pPr>
      <w:r w:rsidRPr="0090311C">
        <w:rPr>
          <w:i/>
          <w:sz w:val="22"/>
          <w:szCs w:val="22"/>
          <w:lang w:eastAsia="en-GB"/>
        </w:rPr>
        <w:t>(</w:t>
      </w:r>
      <w:r w:rsidR="008A5D01" w:rsidRPr="0090311C">
        <w:rPr>
          <w:i/>
          <w:sz w:val="22"/>
          <w:szCs w:val="22"/>
          <w:lang w:eastAsia="en-GB"/>
        </w:rPr>
        <w:t xml:space="preserve">If </w:t>
      </w:r>
      <w:r w:rsidR="0024505E" w:rsidRPr="0090311C">
        <w:rPr>
          <w:i/>
          <w:sz w:val="22"/>
          <w:szCs w:val="22"/>
          <w:lang w:eastAsia="en-GB"/>
        </w:rPr>
        <w:t>financial support</w:t>
      </w:r>
      <w:r w:rsidR="008A5D01" w:rsidRPr="0090311C">
        <w:rPr>
          <w:i/>
          <w:sz w:val="22"/>
          <w:szCs w:val="22"/>
          <w:lang w:eastAsia="en-GB"/>
        </w:rPr>
        <w:t xml:space="preserve"> </w:t>
      </w:r>
      <w:r w:rsidR="000F3CC9" w:rsidRPr="0090311C">
        <w:rPr>
          <w:i/>
          <w:sz w:val="22"/>
          <w:szCs w:val="22"/>
          <w:lang w:eastAsia="en-GB"/>
        </w:rPr>
        <w:t xml:space="preserve">is provided for in the </w:t>
      </w:r>
      <w:r w:rsidR="00707F09" w:rsidRPr="0090311C">
        <w:rPr>
          <w:i/>
          <w:sz w:val="22"/>
          <w:szCs w:val="22"/>
          <w:lang w:eastAsia="en-GB"/>
        </w:rPr>
        <w:t>g</w:t>
      </w:r>
      <w:r w:rsidR="000F3CC9" w:rsidRPr="0090311C">
        <w:rPr>
          <w:i/>
          <w:sz w:val="22"/>
          <w:szCs w:val="22"/>
          <w:lang w:eastAsia="en-GB"/>
        </w:rPr>
        <w:t>uidelines for applicants</w:t>
      </w:r>
      <w:r w:rsidRPr="0090311C">
        <w:rPr>
          <w:i/>
          <w:sz w:val="22"/>
          <w:szCs w:val="22"/>
          <w:lang w:eastAsia="en-GB"/>
        </w:rPr>
        <w:t>)</w:t>
      </w:r>
      <w:r w:rsidR="00AB3569" w:rsidRPr="0090311C">
        <w:rPr>
          <w:i/>
          <w:sz w:val="22"/>
          <w:szCs w:val="22"/>
          <w:lang w:eastAsia="en-GB"/>
        </w:rPr>
        <w:t>:</w:t>
      </w:r>
    </w:p>
    <w:p w14:paraId="6A6FC5B0" w14:textId="77777777" w:rsidR="00F967BB" w:rsidRPr="00764A85" w:rsidRDefault="000F3CC9" w:rsidP="00D46EF8">
      <w:pPr>
        <w:spacing w:before="120"/>
        <w:ind w:left="567" w:hanging="567"/>
        <w:jc w:val="both"/>
        <w:rPr>
          <w:sz w:val="22"/>
          <w:highlight w:val="lightGray"/>
        </w:rPr>
      </w:pPr>
      <w:r w:rsidRPr="00764A85">
        <w:rPr>
          <w:b/>
          <w:sz w:val="22"/>
          <w:highlight w:val="lightGray"/>
        </w:rPr>
        <w:t>[</w:t>
      </w:r>
      <w:r w:rsidRPr="00764A85">
        <w:rPr>
          <w:sz w:val="22"/>
          <w:highlight w:val="lightGray"/>
        </w:rPr>
        <w:t>7.1.</w:t>
      </w:r>
      <w:r w:rsidR="00255DC9" w:rsidRPr="00764A85">
        <w:rPr>
          <w:sz w:val="22"/>
          <w:highlight w:val="lightGray"/>
        </w:rPr>
        <w:t>x</w:t>
      </w:r>
      <w:r w:rsidRPr="00764A85">
        <w:rPr>
          <w:sz w:val="22"/>
          <w:highlight w:val="lightGray"/>
        </w:rPr>
        <w:tab/>
      </w:r>
      <w:proofErr w:type="gramStart"/>
      <w:r w:rsidR="0024505E">
        <w:rPr>
          <w:sz w:val="22"/>
          <w:highlight w:val="lightGray"/>
        </w:rPr>
        <w:t>Financial</w:t>
      </w:r>
      <w:proofErr w:type="gramEnd"/>
      <w:r w:rsidR="0024505E">
        <w:rPr>
          <w:sz w:val="22"/>
          <w:highlight w:val="lightGray"/>
        </w:rPr>
        <w:t xml:space="preserve"> support</w:t>
      </w:r>
      <w:r w:rsidR="001E0676">
        <w:rPr>
          <w:sz w:val="22"/>
          <w:highlight w:val="lightGray"/>
        </w:rPr>
        <w:t xml:space="preserve"> to third parties</w:t>
      </w:r>
      <w:r w:rsidR="00F967BB" w:rsidRPr="00764A85">
        <w:rPr>
          <w:sz w:val="22"/>
          <w:highlight w:val="lightGray"/>
        </w:rPr>
        <w:t xml:space="preserve"> may only be awarded in </w:t>
      </w:r>
      <w:r w:rsidR="0024505E">
        <w:rPr>
          <w:sz w:val="22"/>
          <w:highlight w:val="lightGray"/>
        </w:rPr>
        <w:t xml:space="preserve">compliance with the conditions set in the Guidelines for applicants and in </w:t>
      </w:r>
      <w:r w:rsidR="00F967BB" w:rsidRPr="00764A85">
        <w:rPr>
          <w:sz w:val="22"/>
          <w:highlight w:val="lightGray"/>
        </w:rPr>
        <w:t xml:space="preserve">accordance with the criteria </w:t>
      </w:r>
      <w:r w:rsidR="0024505E">
        <w:rPr>
          <w:sz w:val="22"/>
          <w:highlight w:val="lightGray"/>
        </w:rPr>
        <w:t xml:space="preserve">and conditions </w:t>
      </w:r>
      <w:r w:rsidR="00F967BB" w:rsidRPr="00764A85">
        <w:rPr>
          <w:sz w:val="22"/>
          <w:highlight w:val="lightGray"/>
        </w:rPr>
        <w:t>laid down in the Description of the Action in Annex I</w:t>
      </w:r>
      <w:r w:rsidRPr="00764A85">
        <w:rPr>
          <w:sz w:val="22"/>
          <w:highlight w:val="lightGray"/>
        </w:rPr>
        <w:t xml:space="preserve">. </w:t>
      </w:r>
    </w:p>
    <w:p w14:paraId="5CFFDC3C" w14:textId="77777777" w:rsidR="00F967BB" w:rsidRPr="0090311C" w:rsidRDefault="00F967BB" w:rsidP="00C76959">
      <w:pPr>
        <w:spacing w:before="120"/>
        <w:ind w:left="567"/>
        <w:jc w:val="both"/>
        <w:rPr>
          <w:i/>
          <w:sz w:val="22"/>
        </w:rPr>
      </w:pPr>
      <w:r w:rsidRPr="0090311C">
        <w:rPr>
          <w:i/>
          <w:sz w:val="22"/>
        </w:rPr>
        <w:t>option</w:t>
      </w:r>
      <w:r w:rsidR="001E0676" w:rsidRPr="0090311C">
        <w:rPr>
          <w:i/>
          <w:sz w:val="22"/>
        </w:rPr>
        <w:t>al</w:t>
      </w:r>
    </w:p>
    <w:p w14:paraId="5EB0C7D5" w14:textId="77777777" w:rsidR="000F3CC9" w:rsidRPr="0090311C" w:rsidRDefault="0090311C" w:rsidP="00C76959">
      <w:pPr>
        <w:spacing w:before="120"/>
        <w:ind w:left="567"/>
        <w:jc w:val="both"/>
        <w:rPr>
          <w:i/>
          <w:sz w:val="22"/>
          <w:highlight w:val="lightGray"/>
        </w:rPr>
      </w:pPr>
      <w:r>
        <w:rPr>
          <w:sz w:val="22"/>
          <w:highlight w:val="lightGray"/>
        </w:rPr>
        <w:t>{</w:t>
      </w:r>
      <w:r w:rsidR="000F3CC9" w:rsidRPr="00764A85">
        <w:rPr>
          <w:sz w:val="22"/>
          <w:highlight w:val="lightGray"/>
        </w:rPr>
        <w:t>The maximum amount</w:t>
      </w:r>
      <w:r w:rsidR="00AB3569" w:rsidRPr="00764A85">
        <w:rPr>
          <w:sz w:val="22"/>
          <w:highlight w:val="lightGray"/>
        </w:rPr>
        <w:t xml:space="preserve"> of </w:t>
      </w:r>
      <w:r w:rsidR="0024505E" w:rsidRPr="00384AAD">
        <w:rPr>
          <w:sz w:val="22"/>
          <w:highlight w:val="lightGray"/>
        </w:rPr>
        <w:t xml:space="preserve">financial support </w:t>
      </w:r>
      <w:r w:rsidR="000F3CC9" w:rsidRPr="00764A85">
        <w:rPr>
          <w:sz w:val="22"/>
          <w:highlight w:val="lightGray"/>
        </w:rPr>
        <w:t xml:space="preserve">per </w:t>
      </w:r>
      <w:r w:rsidR="0009787A" w:rsidRPr="00764A85">
        <w:rPr>
          <w:sz w:val="22"/>
          <w:highlight w:val="lightGray"/>
        </w:rPr>
        <w:t xml:space="preserve">each </w:t>
      </w:r>
      <w:r w:rsidR="008A5D01" w:rsidRPr="00764A85">
        <w:rPr>
          <w:sz w:val="22"/>
          <w:highlight w:val="lightGray"/>
        </w:rPr>
        <w:t>third party</w:t>
      </w:r>
      <w:r w:rsidR="000F3CC9" w:rsidRPr="00764A85">
        <w:rPr>
          <w:sz w:val="22"/>
          <w:highlight w:val="lightGray"/>
        </w:rPr>
        <w:t xml:space="preserve"> is </w:t>
      </w:r>
      <w:r w:rsidR="00AB3569" w:rsidRPr="00764A85">
        <w:rPr>
          <w:sz w:val="22"/>
          <w:highlight w:val="lightGray"/>
        </w:rPr>
        <w:t xml:space="preserve">limited to </w:t>
      </w:r>
      <w:r w:rsidR="00683DFD" w:rsidRPr="0090311C">
        <w:rPr>
          <w:i/>
          <w:sz w:val="22"/>
          <w:highlight w:val="lightGray"/>
        </w:rPr>
        <w:t>[</w:t>
      </w:r>
      <w:r w:rsidRPr="0090311C">
        <w:rPr>
          <w:i/>
          <w:sz w:val="22"/>
          <w:highlight w:val="lightGray"/>
        </w:rPr>
        <w:t>insert currency and amount]}</w:t>
      </w:r>
    </w:p>
    <w:p w14:paraId="3EEF0EA5" w14:textId="77777777" w:rsidR="00981A46" w:rsidRPr="0090311C" w:rsidRDefault="00F967BB" w:rsidP="00C76959">
      <w:pPr>
        <w:spacing w:before="120"/>
        <w:ind w:left="567"/>
        <w:jc w:val="both"/>
        <w:rPr>
          <w:i/>
          <w:sz w:val="22"/>
        </w:rPr>
      </w:pPr>
      <w:r w:rsidRPr="0090311C">
        <w:rPr>
          <w:i/>
          <w:sz w:val="22"/>
        </w:rPr>
        <w:t>option</w:t>
      </w:r>
      <w:r w:rsidR="001E0676" w:rsidRPr="0090311C">
        <w:rPr>
          <w:i/>
          <w:sz w:val="22"/>
        </w:rPr>
        <w:t>al</w:t>
      </w:r>
      <w:r w:rsidR="007E2E0B" w:rsidRPr="0090311C">
        <w:rPr>
          <w:i/>
          <w:sz w:val="22"/>
        </w:rPr>
        <w:t xml:space="preserve"> </w:t>
      </w:r>
    </w:p>
    <w:p w14:paraId="7411A8BB" w14:textId="77777777" w:rsidR="001E0676" w:rsidRDefault="0090311C" w:rsidP="00C76959">
      <w:pPr>
        <w:spacing w:before="120"/>
        <w:ind w:left="567"/>
        <w:jc w:val="both"/>
        <w:rPr>
          <w:i/>
          <w:sz w:val="22"/>
          <w:szCs w:val="22"/>
          <w:highlight w:val="lightGray"/>
          <w:lang w:eastAsia="en-GB"/>
        </w:rPr>
      </w:pPr>
      <w:r>
        <w:rPr>
          <w:sz w:val="22"/>
          <w:highlight w:val="lightGray"/>
        </w:rPr>
        <w:t>{</w:t>
      </w:r>
      <w:r w:rsidR="0024505E">
        <w:rPr>
          <w:sz w:val="22"/>
          <w:highlight w:val="lightGray"/>
        </w:rPr>
        <w:t>Financial support</w:t>
      </w:r>
      <w:r w:rsidR="0024505E" w:rsidRPr="00764A85">
        <w:rPr>
          <w:sz w:val="22"/>
          <w:highlight w:val="lightGray"/>
        </w:rPr>
        <w:t xml:space="preserve"> </w:t>
      </w:r>
      <w:r w:rsidR="00AB3569" w:rsidRPr="00764A85">
        <w:rPr>
          <w:sz w:val="22"/>
          <w:szCs w:val="22"/>
          <w:highlight w:val="lightGray"/>
          <w:lang w:eastAsia="en-GB"/>
        </w:rPr>
        <w:t xml:space="preserve">is </w:t>
      </w:r>
      <w:r w:rsidR="00707F09">
        <w:rPr>
          <w:sz w:val="22"/>
          <w:szCs w:val="22"/>
          <w:highlight w:val="lightGray"/>
          <w:lang w:eastAsia="en-GB"/>
        </w:rPr>
        <w:t xml:space="preserve">one of </w:t>
      </w:r>
      <w:r w:rsidR="00AB3569" w:rsidRPr="00764A85">
        <w:rPr>
          <w:sz w:val="22"/>
          <w:szCs w:val="22"/>
          <w:highlight w:val="lightGray"/>
          <w:lang w:eastAsia="en-GB"/>
        </w:rPr>
        <w:t>the main purpose</w:t>
      </w:r>
      <w:r w:rsidR="00707F09">
        <w:rPr>
          <w:sz w:val="22"/>
          <w:szCs w:val="22"/>
          <w:highlight w:val="lightGray"/>
          <w:lang w:eastAsia="en-GB"/>
        </w:rPr>
        <w:t>s</w:t>
      </w:r>
      <w:r w:rsidR="00AB3569" w:rsidRPr="00764A85">
        <w:rPr>
          <w:sz w:val="22"/>
          <w:szCs w:val="22"/>
          <w:highlight w:val="lightGray"/>
          <w:lang w:eastAsia="en-GB"/>
        </w:rPr>
        <w:t xml:space="preserve"> of the Action</w:t>
      </w:r>
      <w:r w:rsidR="00707F09" w:rsidRPr="00764A85">
        <w:rPr>
          <w:i/>
          <w:sz w:val="22"/>
          <w:szCs w:val="22"/>
          <w:highlight w:val="lightGray"/>
          <w:lang w:eastAsia="en-GB"/>
        </w:rPr>
        <w:t>.</w:t>
      </w:r>
      <w:r>
        <w:rPr>
          <w:sz w:val="22"/>
          <w:szCs w:val="22"/>
          <w:highlight w:val="lightGray"/>
          <w:lang w:eastAsia="en-GB"/>
        </w:rPr>
        <w:t>}</w:t>
      </w:r>
    </w:p>
    <w:p w14:paraId="6482F123" w14:textId="77777777" w:rsidR="00426A76" w:rsidRPr="0090311C" w:rsidRDefault="00426A76" w:rsidP="0094748D">
      <w:pPr>
        <w:spacing w:before="240"/>
        <w:ind w:left="567"/>
        <w:rPr>
          <w:i/>
          <w:sz w:val="22"/>
          <w:szCs w:val="22"/>
        </w:rPr>
      </w:pPr>
      <w:r w:rsidRPr="0090311C">
        <w:rPr>
          <w:i/>
          <w:sz w:val="22"/>
          <w:szCs w:val="22"/>
        </w:rPr>
        <w:t xml:space="preserve">In case of accepted costs system (ineligible taxes, in kind contributions...) </w:t>
      </w:r>
    </w:p>
    <w:p w14:paraId="0E69B870" w14:textId="77777777" w:rsidR="00426A76" w:rsidRPr="0090311C" w:rsidRDefault="00D46EF8" w:rsidP="00D46EF8">
      <w:pPr>
        <w:spacing w:before="120"/>
        <w:ind w:left="567" w:hanging="567"/>
        <w:rPr>
          <w:i/>
          <w:sz w:val="22"/>
          <w:szCs w:val="22"/>
        </w:rPr>
      </w:pPr>
      <w:r>
        <w:rPr>
          <w:sz w:val="22"/>
          <w:szCs w:val="22"/>
          <w:highlight w:val="lightGray"/>
        </w:rPr>
        <w:t>7.1.x</w:t>
      </w:r>
      <w:r>
        <w:rPr>
          <w:sz w:val="22"/>
          <w:szCs w:val="22"/>
          <w:highlight w:val="lightGray"/>
        </w:rPr>
        <w:tab/>
      </w:r>
      <w:r w:rsidR="00426A76" w:rsidRPr="00764A85">
        <w:rPr>
          <w:sz w:val="22"/>
          <w:szCs w:val="22"/>
          <w:highlight w:val="lightGray"/>
        </w:rPr>
        <w:t xml:space="preserve">The following non eligible costs may be as considered part of the total accepted costs of the </w:t>
      </w:r>
      <w:r w:rsidR="00707F09">
        <w:rPr>
          <w:sz w:val="22"/>
          <w:szCs w:val="22"/>
          <w:highlight w:val="lightGray"/>
        </w:rPr>
        <w:t>A</w:t>
      </w:r>
      <w:r w:rsidR="00426A76" w:rsidRPr="00764A85">
        <w:rPr>
          <w:sz w:val="22"/>
          <w:szCs w:val="22"/>
          <w:highlight w:val="lightGray"/>
        </w:rPr>
        <w:t xml:space="preserve">ction for the purpose of co-financing, as follows: </w:t>
      </w:r>
      <w:r w:rsidR="0090311C" w:rsidRPr="0090311C">
        <w:rPr>
          <w:i/>
          <w:sz w:val="22"/>
          <w:szCs w:val="22"/>
        </w:rPr>
        <w:t>[</w:t>
      </w:r>
      <w:r w:rsidR="00426A76" w:rsidRPr="0090311C">
        <w:rPr>
          <w:i/>
          <w:sz w:val="22"/>
          <w:szCs w:val="22"/>
        </w:rPr>
        <w:t>clarify the conditions and specificities of the accepted costs, such as in-kind contributions, taxes, including VAT etc. for in kind either the amount of the contribution if known (ex.</w:t>
      </w:r>
      <w:r w:rsidRPr="0090311C">
        <w:rPr>
          <w:i/>
          <w:sz w:val="22"/>
          <w:szCs w:val="22"/>
        </w:rPr>
        <w:t xml:space="preserve"> </w:t>
      </w:r>
      <w:r w:rsidR="00426A76" w:rsidRPr="0090311C">
        <w:rPr>
          <w:i/>
          <w:sz w:val="22"/>
          <w:szCs w:val="22"/>
        </w:rPr>
        <w:t>valorisation of goods etc</w:t>
      </w:r>
      <w:r w:rsidRPr="0090311C">
        <w:rPr>
          <w:i/>
          <w:sz w:val="22"/>
          <w:szCs w:val="22"/>
        </w:rPr>
        <w:t>.</w:t>
      </w:r>
      <w:r w:rsidR="00426A76" w:rsidRPr="0090311C">
        <w:rPr>
          <w:i/>
          <w:sz w:val="22"/>
          <w:szCs w:val="22"/>
        </w:rPr>
        <w:t>) or the way of calculation (ex. cost per day for work etc</w:t>
      </w:r>
      <w:r w:rsidRPr="0090311C">
        <w:rPr>
          <w:i/>
          <w:sz w:val="22"/>
          <w:szCs w:val="22"/>
        </w:rPr>
        <w:t>.</w:t>
      </w:r>
      <w:r w:rsidR="0090311C" w:rsidRPr="0090311C">
        <w:rPr>
          <w:i/>
          <w:sz w:val="22"/>
          <w:szCs w:val="22"/>
        </w:rPr>
        <w:t>) ]</w:t>
      </w:r>
    </w:p>
    <w:p w14:paraId="08D569AC" w14:textId="77777777" w:rsidR="00426A76" w:rsidRPr="00764A85" w:rsidRDefault="00426A76" w:rsidP="00D46EF8">
      <w:pPr>
        <w:pStyle w:val="Text2"/>
        <w:spacing w:before="120"/>
        <w:ind w:left="567"/>
        <w:rPr>
          <w:sz w:val="22"/>
          <w:szCs w:val="22"/>
          <w:highlight w:val="lightGray"/>
        </w:rPr>
      </w:pPr>
      <w:r w:rsidRPr="00764A85">
        <w:rPr>
          <w:sz w:val="22"/>
          <w:szCs w:val="22"/>
          <w:highlight w:val="lightGray"/>
        </w:rPr>
        <w:t>The corresponding cost must be included in the budget (Annex III and Annex VI</w:t>
      </w:r>
      <w:proofErr w:type="gramStart"/>
      <w:r w:rsidRPr="00764A85">
        <w:rPr>
          <w:sz w:val="22"/>
          <w:szCs w:val="22"/>
          <w:highlight w:val="lightGray"/>
        </w:rPr>
        <w:t>)  under</w:t>
      </w:r>
      <w:proofErr w:type="gramEnd"/>
      <w:r w:rsidRPr="00764A85">
        <w:rPr>
          <w:sz w:val="22"/>
          <w:szCs w:val="22"/>
          <w:highlight w:val="lightGray"/>
        </w:rPr>
        <w:t xml:space="preserve"> heading 12.</w:t>
      </w:r>
    </w:p>
    <w:p w14:paraId="7E439BCF" w14:textId="77777777" w:rsidR="00426A76" w:rsidRPr="00764A85" w:rsidRDefault="00426A76" w:rsidP="00D46EF8">
      <w:pPr>
        <w:spacing w:before="120"/>
        <w:ind w:left="567"/>
        <w:jc w:val="both"/>
        <w:rPr>
          <w:sz w:val="22"/>
        </w:rPr>
      </w:pPr>
      <w:r w:rsidRPr="00764A85">
        <w:rPr>
          <w:sz w:val="22"/>
          <w:highlight w:val="lightGray"/>
        </w:rPr>
        <w:t xml:space="preserve">The total accepted cost of the Action </w:t>
      </w:r>
      <w:proofErr w:type="gramStart"/>
      <w:r w:rsidRPr="00764A85">
        <w:rPr>
          <w:sz w:val="22"/>
          <w:highlight w:val="lightGray"/>
        </w:rPr>
        <w:t>are</w:t>
      </w:r>
      <w:proofErr w:type="gramEnd"/>
      <w:r w:rsidRPr="00764A85">
        <w:rPr>
          <w:sz w:val="22"/>
          <w:highlight w:val="lightGray"/>
        </w:rPr>
        <w:t xml:space="preserve"> estimated </w:t>
      </w:r>
      <w:r w:rsidRPr="00683DFD">
        <w:rPr>
          <w:sz w:val="22"/>
          <w:highlight w:val="lightGray"/>
        </w:rPr>
        <w:t>at</w:t>
      </w:r>
      <w:r w:rsidRPr="00F13D45">
        <w:rPr>
          <w:sz w:val="22"/>
          <w:highlight w:val="lightGray"/>
        </w:rPr>
        <w:t xml:space="preserve"> </w:t>
      </w:r>
      <w:r w:rsidR="00683DFD" w:rsidRPr="0090311C">
        <w:rPr>
          <w:i/>
          <w:sz w:val="22"/>
        </w:rPr>
        <w:t>[</w:t>
      </w:r>
      <w:r w:rsidR="0090311C" w:rsidRPr="0090311C">
        <w:rPr>
          <w:i/>
          <w:sz w:val="22"/>
        </w:rPr>
        <w:t>insert currency and amount]</w:t>
      </w:r>
      <w:r w:rsidR="0090311C" w:rsidRPr="0090311C">
        <w:rPr>
          <w:sz w:val="22"/>
        </w:rPr>
        <w:t xml:space="preserve"> </w:t>
      </w:r>
      <w:r w:rsidRPr="00764A85">
        <w:rPr>
          <w:sz w:val="22"/>
          <w:highlight w:val="lightGray"/>
        </w:rPr>
        <w:t>as set out in Annex III</w:t>
      </w:r>
      <w:r w:rsidRPr="00764A85">
        <w:rPr>
          <w:sz w:val="22"/>
        </w:rPr>
        <w:t xml:space="preserve">. </w:t>
      </w:r>
    </w:p>
    <w:p w14:paraId="02BD5A7A" w14:textId="77777777" w:rsidR="00426A76" w:rsidRPr="00764A85" w:rsidRDefault="00426A76" w:rsidP="00D46EF8">
      <w:pPr>
        <w:spacing w:before="120"/>
        <w:ind w:left="567"/>
        <w:jc w:val="both"/>
        <w:rPr>
          <w:sz w:val="22"/>
          <w:szCs w:val="22"/>
          <w:highlight w:val="lightGray"/>
        </w:rPr>
      </w:pPr>
      <w:r w:rsidRPr="00764A85">
        <w:rPr>
          <w:sz w:val="22"/>
          <w:szCs w:val="22"/>
          <w:highlight w:val="lightGray"/>
        </w:rPr>
        <w:t>The Contracting Authority's contribution set out in Art</w:t>
      </w:r>
      <w:r w:rsidR="0090311C">
        <w:rPr>
          <w:sz w:val="22"/>
          <w:szCs w:val="22"/>
          <w:highlight w:val="lightGray"/>
        </w:rPr>
        <w:t>icle 3.2 is further limited to [</w:t>
      </w:r>
      <w:r w:rsidR="0090311C" w:rsidRPr="0090311C">
        <w:rPr>
          <w:i/>
          <w:sz w:val="22"/>
          <w:szCs w:val="22"/>
        </w:rPr>
        <w:t>insert</w:t>
      </w:r>
      <w:r w:rsidR="007C249A">
        <w:rPr>
          <w:i/>
          <w:sz w:val="22"/>
          <w:szCs w:val="22"/>
        </w:rPr>
        <w:t xml:space="preserve"> applicable percentage </w:t>
      </w:r>
      <w:r w:rsidRPr="0090311C">
        <w:rPr>
          <w:i/>
          <w:sz w:val="22"/>
          <w:szCs w:val="22"/>
        </w:rPr>
        <w:t>%</w:t>
      </w:r>
      <w:r w:rsidR="0090311C" w:rsidRPr="0090311C">
        <w:rPr>
          <w:i/>
          <w:sz w:val="22"/>
          <w:szCs w:val="22"/>
        </w:rPr>
        <w:t>]</w:t>
      </w:r>
      <w:r w:rsidRPr="00764A85">
        <w:rPr>
          <w:sz w:val="22"/>
          <w:szCs w:val="22"/>
          <w:highlight w:val="lightGray"/>
        </w:rPr>
        <w:t xml:space="preserve"> of the estimated total accepted costs.</w:t>
      </w:r>
    </w:p>
    <w:p w14:paraId="35449A9E" w14:textId="77777777" w:rsidR="00426A76" w:rsidRDefault="00426A76" w:rsidP="00D46EF8">
      <w:pPr>
        <w:spacing w:before="120"/>
        <w:ind w:left="567"/>
        <w:jc w:val="both"/>
        <w:rPr>
          <w:sz w:val="22"/>
          <w:szCs w:val="22"/>
          <w:highlight w:val="lightGray"/>
        </w:rPr>
      </w:pPr>
      <w:r w:rsidRPr="00764A85">
        <w:rPr>
          <w:sz w:val="22"/>
          <w:szCs w:val="22"/>
          <w:highlight w:val="lightGray"/>
        </w:rPr>
        <w:t xml:space="preserve">The final amount of the Contracting Authority's contribution shall be established in accordance with Articles 14 and 17 of Annex II.  The percentages set </w:t>
      </w:r>
      <w:proofErr w:type="gramStart"/>
      <w:r w:rsidRPr="00764A85">
        <w:rPr>
          <w:sz w:val="22"/>
          <w:szCs w:val="22"/>
          <w:highlight w:val="lightGray"/>
        </w:rPr>
        <w:t>with regard to</w:t>
      </w:r>
      <w:proofErr w:type="gramEnd"/>
      <w:r w:rsidRPr="00764A85">
        <w:rPr>
          <w:sz w:val="22"/>
          <w:szCs w:val="22"/>
          <w:highlight w:val="lightGray"/>
        </w:rPr>
        <w:t xml:space="preserve"> the total eligible costs and total accepted costs shall apply cumulatively so that the Contracting Authority's contribution shall be limited to the lowest amount obtained by respectively applying the percentages to the final total eligible and accepted costs approved by the Contracting Authority. </w:t>
      </w:r>
      <w:r w:rsidRPr="00BC03E0">
        <w:rPr>
          <w:sz w:val="22"/>
          <w:szCs w:val="22"/>
          <w:highlight w:val="lightGray"/>
        </w:rPr>
        <w:t>In case that the total accepted costs are equal to the total eligible costs, the percentage applicable to the total accepted costs applies to the total eligible costs to ensure the required co-financing.</w:t>
      </w:r>
    </w:p>
    <w:p w14:paraId="23EC5DE5" w14:textId="77777777" w:rsidR="00705119" w:rsidRDefault="00705119" w:rsidP="00D46EF8">
      <w:pPr>
        <w:spacing w:before="120"/>
        <w:ind w:left="567"/>
        <w:jc w:val="both"/>
        <w:rPr>
          <w:sz w:val="22"/>
          <w:szCs w:val="22"/>
          <w:highlight w:val="lightGray"/>
        </w:rPr>
      </w:pPr>
    </w:p>
    <w:p w14:paraId="3DDAD10A" w14:textId="77777777" w:rsidR="00705119" w:rsidRDefault="00705119" w:rsidP="00D46EF8">
      <w:pPr>
        <w:spacing w:before="120"/>
        <w:ind w:left="567"/>
        <w:jc w:val="both"/>
        <w:rPr>
          <w:sz w:val="22"/>
          <w:szCs w:val="22"/>
          <w:highlight w:val="lightGray"/>
        </w:rPr>
      </w:pPr>
    </w:p>
    <w:p w14:paraId="0E9244FA" w14:textId="77777777" w:rsidR="00705119" w:rsidRPr="00764A85" w:rsidRDefault="00705119" w:rsidP="002326A2">
      <w:pPr>
        <w:tabs>
          <w:tab w:val="left" w:pos="567"/>
        </w:tabs>
        <w:spacing w:before="120"/>
        <w:ind w:left="709" w:hanging="709"/>
        <w:jc w:val="both"/>
        <w:rPr>
          <w:sz w:val="22"/>
          <w:szCs w:val="22"/>
          <w:highlight w:val="lightGray"/>
          <w:lang w:eastAsia="en-GB"/>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-The exchange rate to be applied in case of a positive balance pre-financed by the </w:t>
      </w:r>
      <w:r w:rsidR="0055234D">
        <w:rPr>
          <w:sz w:val="22"/>
          <w:highlight w:val="lightGray"/>
        </w:rPr>
        <w:t>Beneficiary(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(or other donors) at the end of the </w:t>
      </w:r>
      <w:r w:rsidR="0055234D">
        <w:rPr>
          <w:sz w:val="22"/>
          <w:highlight w:val="lightGray"/>
        </w:rPr>
        <w:t>A</w:t>
      </w:r>
      <w:r w:rsidR="00057FAB">
        <w:rPr>
          <w:sz w:val="22"/>
          <w:highlight w:val="lightGray"/>
        </w:rPr>
        <w:t xml:space="preserve">ction is </w:t>
      </w:r>
      <w:r w:rsidR="00057FAB" w:rsidRPr="00057FAB">
        <w:rPr>
          <w:i/>
          <w:sz w:val="22"/>
        </w:rPr>
        <w:t>[</w:t>
      </w:r>
      <w:r w:rsidRPr="00057FAB">
        <w:rPr>
          <w:i/>
          <w:sz w:val="22"/>
        </w:rPr>
        <w:t>enter applicable rule/criteria to determine the exchange rate</w:t>
      </w:r>
      <w:r w:rsidR="00057FAB" w:rsidRPr="00057FAB">
        <w:rPr>
          <w:i/>
          <w:sz w:val="22"/>
        </w:rPr>
        <w:t>]</w:t>
      </w:r>
      <w:r>
        <w:rPr>
          <w:sz w:val="22"/>
          <w:highlight w:val="lightGray"/>
        </w:rPr>
        <w:t xml:space="preserve"> according to the usual accounting practice of th</w:t>
      </w:r>
      <w:r w:rsidR="0055234D">
        <w:rPr>
          <w:sz w:val="22"/>
          <w:highlight w:val="lightGray"/>
        </w:rPr>
        <w:t>e</w:t>
      </w:r>
      <w:r>
        <w:rPr>
          <w:sz w:val="22"/>
          <w:highlight w:val="lightGray"/>
        </w:rPr>
        <w:t xml:space="preserve"> </w:t>
      </w:r>
      <w:r w:rsidR="0055234D">
        <w:rPr>
          <w:sz w:val="22"/>
          <w:highlight w:val="lightGray"/>
        </w:rPr>
        <w:t>Beneficiary(</w:t>
      </w:r>
      <w:proofErr w:type="spellStart"/>
      <w:r w:rsidR="0055234D">
        <w:rPr>
          <w:sz w:val="22"/>
          <w:highlight w:val="lightGray"/>
        </w:rPr>
        <w:t>ies</w:t>
      </w:r>
      <w:proofErr w:type="spellEnd"/>
      <w:r w:rsidR="0055234D">
        <w:rPr>
          <w:sz w:val="22"/>
          <w:highlight w:val="lightGray"/>
        </w:rPr>
        <w:t>)</w:t>
      </w:r>
      <w:r w:rsidRPr="00764A85">
        <w:rPr>
          <w:sz w:val="22"/>
          <w:szCs w:val="22"/>
          <w:highlight w:val="lightGray"/>
          <w:lang w:eastAsia="en-GB"/>
        </w:rPr>
        <w:t>.</w:t>
      </w:r>
    </w:p>
    <w:p w14:paraId="1C6CE438" w14:textId="77777777" w:rsidR="00B122F2" w:rsidRDefault="00057FAB" w:rsidP="00D25C52">
      <w:pPr>
        <w:tabs>
          <w:tab w:val="left" w:pos="567"/>
        </w:tabs>
        <w:spacing w:before="120"/>
        <w:ind w:left="709" w:hanging="709"/>
        <w:jc w:val="both"/>
        <w:rPr>
          <w:sz w:val="22"/>
          <w:highlight w:val="lightGray"/>
        </w:rPr>
      </w:pPr>
      <w:r w:rsidRPr="00764A85">
        <w:rPr>
          <w:b/>
          <w:sz w:val="22"/>
          <w:highlight w:val="lightGray"/>
        </w:rPr>
        <w:t xml:space="preserve"> </w:t>
      </w:r>
      <w:r w:rsidR="00B122F2" w:rsidRPr="00764A85">
        <w:rPr>
          <w:b/>
          <w:sz w:val="22"/>
          <w:highlight w:val="lightGray"/>
        </w:rPr>
        <w:t>[</w:t>
      </w:r>
      <w:r w:rsidR="00B122F2">
        <w:rPr>
          <w:sz w:val="22"/>
          <w:highlight w:val="lightGray"/>
        </w:rPr>
        <w:t>7.1.x</w:t>
      </w:r>
      <w:r w:rsidR="00B122F2" w:rsidRPr="00764A85">
        <w:rPr>
          <w:sz w:val="22"/>
          <w:highlight w:val="lightGray"/>
        </w:rPr>
        <w:tab/>
      </w:r>
      <w:r w:rsidR="00B122F2">
        <w:rPr>
          <w:sz w:val="22"/>
          <w:highlight w:val="lightGray"/>
        </w:rPr>
        <w:t xml:space="preserve">-Where the implementation of the </w:t>
      </w:r>
      <w:r w:rsidR="0055234D">
        <w:rPr>
          <w:sz w:val="22"/>
          <w:highlight w:val="lightGray"/>
        </w:rPr>
        <w:t>A</w:t>
      </w:r>
      <w:r w:rsidR="00B122F2">
        <w:rPr>
          <w:sz w:val="22"/>
          <w:highlight w:val="lightGray"/>
        </w:rPr>
        <w:t>ction requires the setting up or the use of local infrastr</w:t>
      </w:r>
      <w:r w:rsidR="007D4F4D">
        <w:rPr>
          <w:sz w:val="22"/>
          <w:highlight w:val="lightGray"/>
        </w:rPr>
        <w:t>ucture in the partner country (</w:t>
      </w:r>
      <w:r w:rsidR="0055234D">
        <w:rPr>
          <w:sz w:val="22"/>
          <w:highlight w:val="lightGray"/>
        </w:rPr>
        <w:t>f</w:t>
      </w:r>
      <w:r w:rsidR="00B122F2">
        <w:rPr>
          <w:sz w:val="22"/>
          <w:highlight w:val="lightGray"/>
        </w:rPr>
        <w:t xml:space="preserve">ield office), the </w:t>
      </w:r>
      <w:r w:rsidR="0055234D">
        <w:rPr>
          <w:sz w:val="22"/>
          <w:highlight w:val="lightGray"/>
        </w:rPr>
        <w:t>Beneficiary(</w:t>
      </w:r>
      <w:proofErr w:type="spellStart"/>
      <w:r w:rsidR="0055234D">
        <w:rPr>
          <w:sz w:val="22"/>
          <w:highlight w:val="lightGray"/>
        </w:rPr>
        <w:t>ies</w:t>
      </w:r>
      <w:proofErr w:type="spellEnd"/>
      <w:r w:rsidR="0055234D">
        <w:rPr>
          <w:sz w:val="22"/>
          <w:highlight w:val="lightGray"/>
        </w:rPr>
        <w:t xml:space="preserve">) </w:t>
      </w:r>
      <w:r w:rsidR="00B122F2">
        <w:rPr>
          <w:sz w:val="22"/>
          <w:highlight w:val="lightGray"/>
        </w:rPr>
        <w:t xml:space="preserve">may declare as eligible direct costs the portion of capitalised and operating costs of the local infrastructure which corresponds to the duration of the </w:t>
      </w:r>
      <w:r w:rsidR="0055234D">
        <w:rPr>
          <w:sz w:val="22"/>
          <w:highlight w:val="lightGray"/>
        </w:rPr>
        <w:t>A</w:t>
      </w:r>
      <w:r w:rsidR="00B122F2">
        <w:rPr>
          <w:sz w:val="22"/>
          <w:highlight w:val="lightGray"/>
        </w:rPr>
        <w:t>ction</w:t>
      </w:r>
      <w:r w:rsidR="00205EDC">
        <w:rPr>
          <w:sz w:val="22"/>
          <w:highlight w:val="lightGray"/>
        </w:rPr>
        <w:t xml:space="preserve"> </w:t>
      </w:r>
      <w:r w:rsidR="00B122F2">
        <w:rPr>
          <w:sz w:val="22"/>
          <w:highlight w:val="lightGray"/>
        </w:rPr>
        <w:tab/>
        <w:t xml:space="preserve">at the rate of use of local infrastructure for the purpose of the Action, determined by the </w:t>
      </w:r>
      <w:r w:rsidR="0055234D">
        <w:rPr>
          <w:sz w:val="22"/>
          <w:highlight w:val="lightGray"/>
        </w:rPr>
        <w:t>Beneficiary(</w:t>
      </w:r>
      <w:proofErr w:type="spellStart"/>
      <w:r w:rsidR="0055234D">
        <w:rPr>
          <w:sz w:val="22"/>
          <w:highlight w:val="lightGray"/>
        </w:rPr>
        <w:t>ies</w:t>
      </w:r>
      <w:proofErr w:type="spellEnd"/>
      <w:r w:rsidR="0055234D">
        <w:rPr>
          <w:sz w:val="22"/>
          <w:highlight w:val="lightGray"/>
        </w:rPr>
        <w:t xml:space="preserve">) </w:t>
      </w:r>
      <w:r w:rsidR="00B122F2">
        <w:rPr>
          <w:sz w:val="22"/>
          <w:highlight w:val="lightGray"/>
        </w:rPr>
        <w:t>on the basis of a simplified allocation method, provided that the allocation method is:</w:t>
      </w:r>
    </w:p>
    <w:p w14:paraId="187BF111" w14:textId="77777777" w:rsidR="00B122F2" w:rsidRDefault="00B122F2" w:rsidP="00205EDC">
      <w:pPr>
        <w:numPr>
          <w:ilvl w:val="0"/>
          <w:numId w:val="16"/>
        </w:numPr>
        <w:tabs>
          <w:tab w:val="left" w:pos="1134"/>
        </w:tabs>
        <w:spacing w:before="120"/>
        <w:ind w:left="1134"/>
        <w:jc w:val="both"/>
        <w:rPr>
          <w:sz w:val="22"/>
          <w:highlight w:val="lightGray"/>
        </w:rPr>
      </w:pPr>
      <w:r>
        <w:rPr>
          <w:sz w:val="22"/>
          <w:highlight w:val="lightGray"/>
        </w:rPr>
        <w:lastRenderedPageBreak/>
        <w:t xml:space="preserve">compliant with the </w:t>
      </w:r>
      <w:r w:rsidR="0055234D">
        <w:rPr>
          <w:sz w:val="22"/>
          <w:highlight w:val="lightGray"/>
        </w:rPr>
        <w:t>Beneficiary(</w:t>
      </w:r>
      <w:proofErr w:type="spellStart"/>
      <w:r w:rsidR="0055234D">
        <w:rPr>
          <w:sz w:val="22"/>
          <w:highlight w:val="lightGray"/>
        </w:rPr>
        <w:t>ies</w:t>
      </w:r>
      <w:proofErr w:type="spellEnd"/>
      <w:r w:rsidR="0055234D">
        <w:rPr>
          <w:sz w:val="22"/>
          <w:highlight w:val="lightGray"/>
        </w:rPr>
        <w:t>)</w:t>
      </w:r>
      <w:r>
        <w:rPr>
          <w:sz w:val="22"/>
          <w:highlight w:val="lightGray"/>
        </w:rPr>
        <w:t>'s usual accounting and management practices and applied in a consistent manner regardless of the source of funding, and</w:t>
      </w:r>
    </w:p>
    <w:p w14:paraId="65DBDFE8" w14:textId="77777777" w:rsidR="009B3309" w:rsidRDefault="00B122F2" w:rsidP="00205EDC">
      <w:pPr>
        <w:numPr>
          <w:ilvl w:val="0"/>
          <w:numId w:val="16"/>
        </w:numPr>
        <w:tabs>
          <w:tab w:val="left" w:pos="1134"/>
        </w:tabs>
        <w:spacing w:before="120"/>
        <w:ind w:left="1134"/>
        <w:jc w:val="both"/>
        <w:rPr>
          <w:sz w:val="22"/>
          <w:highlight w:val="lightGray"/>
        </w:rPr>
      </w:pPr>
      <w:r>
        <w:rPr>
          <w:sz w:val="22"/>
          <w:highlight w:val="lightGray"/>
        </w:rPr>
        <w:t xml:space="preserve">based on an objective, fair and reliable allocation </w:t>
      </w:r>
      <w:proofErr w:type="gramStart"/>
      <w:r>
        <w:rPr>
          <w:sz w:val="22"/>
          <w:highlight w:val="lightGray"/>
        </w:rPr>
        <w:t>key</w:t>
      </w:r>
      <w:r w:rsidR="004D00A3">
        <w:rPr>
          <w:sz w:val="22"/>
          <w:highlight w:val="lightGray"/>
        </w:rPr>
        <w:t xml:space="preserve"> </w:t>
      </w:r>
      <w:r w:rsidR="009A1A49">
        <w:rPr>
          <w:sz w:val="22"/>
          <w:highlight w:val="lightGray"/>
        </w:rPr>
        <w:t>.</w:t>
      </w:r>
      <w:proofErr w:type="gramEnd"/>
    </w:p>
    <w:p w14:paraId="3F29B31A" w14:textId="77777777" w:rsidR="009B3309" w:rsidRDefault="009B3309" w:rsidP="00205EDC">
      <w:pPr>
        <w:numPr>
          <w:ilvl w:val="0"/>
          <w:numId w:val="16"/>
        </w:numPr>
        <w:tabs>
          <w:tab w:val="left" w:pos="1134"/>
        </w:tabs>
        <w:spacing w:before="120"/>
        <w:ind w:left="1134"/>
        <w:jc w:val="both"/>
        <w:rPr>
          <w:sz w:val="22"/>
          <w:highlight w:val="lightGray"/>
        </w:rPr>
      </w:pPr>
      <w:r>
        <w:rPr>
          <w:sz w:val="22"/>
          <w:highlight w:val="lightGray"/>
        </w:rPr>
        <w:t xml:space="preserve">assessed and accepted by the </w:t>
      </w:r>
      <w:r w:rsidR="0055234D">
        <w:rPr>
          <w:sz w:val="22"/>
          <w:highlight w:val="lightGray"/>
        </w:rPr>
        <w:t>e</w:t>
      </w:r>
      <w:r>
        <w:rPr>
          <w:sz w:val="22"/>
          <w:highlight w:val="lightGray"/>
        </w:rPr>
        <w:t xml:space="preserve">valuation </w:t>
      </w:r>
      <w:r w:rsidR="0055234D">
        <w:rPr>
          <w:sz w:val="22"/>
          <w:highlight w:val="lightGray"/>
        </w:rPr>
        <w:t>c</w:t>
      </w:r>
      <w:r>
        <w:rPr>
          <w:sz w:val="22"/>
          <w:highlight w:val="lightGray"/>
        </w:rPr>
        <w:t>ommittee</w:t>
      </w:r>
      <w:r w:rsidR="0055234D">
        <w:rPr>
          <w:sz w:val="22"/>
          <w:highlight w:val="lightGray"/>
        </w:rPr>
        <w:t xml:space="preserve">, where </w:t>
      </w:r>
      <w:proofErr w:type="gramStart"/>
      <w:r w:rsidR="0055234D">
        <w:rPr>
          <w:sz w:val="22"/>
          <w:highlight w:val="lightGray"/>
        </w:rPr>
        <w:t xml:space="preserve">applicable,  </w:t>
      </w:r>
      <w:r>
        <w:rPr>
          <w:sz w:val="22"/>
          <w:highlight w:val="lightGray"/>
        </w:rPr>
        <w:t>and</w:t>
      </w:r>
      <w:proofErr w:type="gramEnd"/>
      <w:r>
        <w:rPr>
          <w:sz w:val="22"/>
          <w:highlight w:val="lightGray"/>
        </w:rPr>
        <w:t xml:space="preserve"> the Contracting Authority at the time of contracting.</w:t>
      </w:r>
    </w:p>
    <w:p w14:paraId="3DC8D4E5" w14:textId="77777777" w:rsidR="009B3309" w:rsidRPr="002326A2" w:rsidRDefault="00F04FB8" w:rsidP="002326A2">
      <w:pPr>
        <w:tabs>
          <w:tab w:val="left" w:pos="567"/>
        </w:tabs>
        <w:spacing w:before="120"/>
        <w:ind w:left="709" w:hanging="709"/>
        <w:jc w:val="both"/>
        <w:rPr>
          <w:sz w:val="22"/>
          <w:highlight w:val="lightGray"/>
        </w:rPr>
      </w:pPr>
      <w:r>
        <w:rPr>
          <w:sz w:val="22"/>
          <w:highlight w:val="lightGray"/>
        </w:rPr>
        <w:tab/>
      </w:r>
      <w:r>
        <w:rPr>
          <w:sz w:val="22"/>
          <w:highlight w:val="lightGray"/>
        </w:rPr>
        <w:tab/>
      </w:r>
      <w:r w:rsidR="009B3309" w:rsidRPr="002326A2">
        <w:rPr>
          <w:sz w:val="22"/>
          <w:highlight w:val="lightGray"/>
        </w:rPr>
        <w:t xml:space="preserve">In case costs are reported </w:t>
      </w:r>
      <w:proofErr w:type="gramStart"/>
      <w:r w:rsidR="009B3309" w:rsidRPr="002326A2">
        <w:rPr>
          <w:sz w:val="22"/>
          <w:highlight w:val="lightGray"/>
        </w:rPr>
        <w:t>on the basis of</w:t>
      </w:r>
      <w:proofErr w:type="gramEnd"/>
      <w:r w:rsidR="009B3309" w:rsidRPr="002326A2">
        <w:rPr>
          <w:sz w:val="22"/>
          <w:highlight w:val="lightGray"/>
        </w:rPr>
        <w:t xml:space="preserve"> a simplified method of allocation, adequate record and documentation must be kept by the </w:t>
      </w:r>
      <w:r w:rsidR="0055234D">
        <w:rPr>
          <w:sz w:val="22"/>
          <w:highlight w:val="lightGray"/>
        </w:rPr>
        <w:t>Beneficiary(</w:t>
      </w:r>
      <w:proofErr w:type="spellStart"/>
      <w:r w:rsidR="0055234D">
        <w:rPr>
          <w:sz w:val="22"/>
          <w:highlight w:val="lightGray"/>
        </w:rPr>
        <w:t>ies</w:t>
      </w:r>
      <w:proofErr w:type="spellEnd"/>
      <w:r w:rsidR="0055234D">
        <w:rPr>
          <w:sz w:val="22"/>
          <w:highlight w:val="lightGray"/>
        </w:rPr>
        <w:t xml:space="preserve">) </w:t>
      </w:r>
      <w:r w:rsidR="009B3309" w:rsidRPr="002326A2">
        <w:rPr>
          <w:sz w:val="22"/>
          <w:highlight w:val="lightGray"/>
        </w:rPr>
        <w:t xml:space="preserve">to prove the compliance of the allocation method used with the conditions set out above. </w:t>
      </w:r>
    </w:p>
    <w:p w14:paraId="5C9C36F9" w14:textId="77777777" w:rsidR="00C2718F" w:rsidRPr="00764A85" w:rsidRDefault="00C2718F" w:rsidP="00D46EF8">
      <w:pPr>
        <w:spacing w:before="120"/>
        <w:ind w:left="567" w:hanging="567"/>
        <w:jc w:val="both"/>
        <w:rPr>
          <w:sz w:val="22"/>
          <w:highlight w:val="lightGray"/>
        </w:rPr>
      </w:pPr>
      <w:r w:rsidRPr="00764A85">
        <w:rPr>
          <w:sz w:val="22"/>
          <w:highlight w:val="lightGray"/>
        </w:rPr>
        <w:t>7.2</w:t>
      </w:r>
      <w:r w:rsidRPr="00764A85">
        <w:rPr>
          <w:sz w:val="22"/>
          <w:highlight w:val="lightGray"/>
        </w:rPr>
        <w:tab/>
        <w:t xml:space="preserve">The following derogations from </w:t>
      </w:r>
      <w:r w:rsidR="0072031C">
        <w:rPr>
          <w:sz w:val="22"/>
          <w:highlight w:val="lightGray"/>
        </w:rPr>
        <w:t>Annex I</w:t>
      </w:r>
      <w:r w:rsidR="00751F52">
        <w:rPr>
          <w:sz w:val="22"/>
          <w:highlight w:val="lightGray"/>
        </w:rPr>
        <w:t>I</w:t>
      </w:r>
      <w:r w:rsidRPr="00764A85">
        <w:rPr>
          <w:sz w:val="22"/>
          <w:highlight w:val="lightGray"/>
        </w:rPr>
        <w:t xml:space="preserve"> shall apply:</w:t>
      </w:r>
    </w:p>
    <w:p w14:paraId="6FF5C9DE" w14:textId="77777777" w:rsidR="009E4066" w:rsidRPr="00764A85" w:rsidRDefault="001A03F3" w:rsidP="00F13D45">
      <w:pPr>
        <w:tabs>
          <w:tab w:val="left" w:pos="567"/>
          <w:tab w:val="right" w:pos="5678"/>
        </w:tabs>
        <w:autoSpaceDE w:val="0"/>
        <w:autoSpaceDN w:val="0"/>
        <w:adjustRightInd w:val="0"/>
        <w:spacing w:before="120"/>
        <w:jc w:val="both"/>
        <w:rPr>
          <w:sz w:val="22"/>
          <w:szCs w:val="22"/>
          <w:lang w:eastAsia="en-GB"/>
        </w:rPr>
      </w:pPr>
      <w:r>
        <w:rPr>
          <w:sz w:val="22"/>
          <w:szCs w:val="22"/>
          <w:highlight w:val="lightGray"/>
          <w:lang w:eastAsia="en-GB"/>
        </w:rPr>
        <w:t>7.2.x</w:t>
      </w:r>
      <w:r>
        <w:rPr>
          <w:sz w:val="22"/>
          <w:szCs w:val="22"/>
          <w:highlight w:val="lightGray"/>
          <w:lang w:eastAsia="en-GB"/>
        </w:rPr>
        <w:tab/>
      </w:r>
      <w:r w:rsidR="009E4066" w:rsidRPr="00764A85">
        <w:rPr>
          <w:sz w:val="22"/>
          <w:szCs w:val="22"/>
          <w:highlight w:val="lightGray"/>
          <w:lang w:eastAsia="en-GB"/>
        </w:rPr>
        <w:t>Article</w:t>
      </w:r>
      <w:r w:rsidR="00D422A8">
        <w:rPr>
          <w:sz w:val="22"/>
          <w:szCs w:val="22"/>
          <w:highlight w:val="lightGray"/>
          <w:lang w:eastAsia="en-GB"/>
        </w:rPr>
        <w:t>s</w:t>
      </w:r>
      <w:r w:rsidR="009E4066" w:rsidRPr="00764A85">
        <w:rPr>
          <w:sz w:val="22"/>
          <w:szCs w:val="22"/>
          <w:highlight w:val="lightGray"/>
          <w:lang w:eastAsia="en-GB"/>
        </w:rPr>
        <w:t xml:space="preserve"> 1.</w:t>
      </w:r>
      <w:r w:rsidR="00D422A8">
        <w:rPr>
          <w:sz w:val="22"/>
          <w:szCs w:val="22"/>
          <w:highlight w:val="lightGray"/>
          <w:lang w:eastAsia="en-GB"/>
        </w:rPr>
        <w:t xml:space="preserve">3 and 1.4 </w:t>
      </w:r>
      <w:r w:rsidR="009E4066" w:rsidRPr="00764A85">
        <w:rPr>
          <w:sz w:val="22"/>
          <w:szCs w:val="22"/>
          <w:highlight w:val="lightGray"/>
          <w:lang w:eastAsia="en-GB"/>
        </w:rPr>
        <w:t>of Annex II shall not apply]</w:t>
      </w:r>
    </w:p>
    <w:p w14:paraId="434E3A91" w14:textId="77777777" w:rsidR="008C49DC" w:rsidRPr="00057FAB" w:rsidRDefault="00057FAB" w:rsidP="0094748D">
      <w:pPr>
        <w:pStyle w:val="Heading3"/>
        <w:keepNext w:val="0"/>
        <w:widowControl w:val="0"/>
        <w:numPr>
          <w:ilvl w:val="0"/>
          <w:numId w:val="0"/>
        </w:numPr>
        <w:spacing w:before="240" w:after="120"/>
        <w:ind w:left="567"/>
        <w:jc w:val="both"/>
        <w:rPr>
          <w:sz w:val="22"/>
        </w:rPr>
      </w:pPr>
      <w:r>
        <w:rPr>
          <w:sz w:val="22"/>
          <w:szCs w:val="22"/>
          <w:lang w:eastAsia="en-GB"/>
        </w:rPr>
        <w:t>(</w:t>
      </w:r>
      <w:r w:rsidR="00372586" w:rsidRPr="00057FAB">
        <w:rPr>
          <w:sz w:val="22"/>
          <w:szCs w:val="22"/>
          <w:lang w:eastAsia="en-GB"/>
        </w:rPr>
        <w:t xml:space="preserve">If the objective of the Action is to reinforce the financial capacity </w:t>
      </w:r>
      <w:r w:rsidR="008C49DC" w:rsidRPr="00057FAB">
        <w:rPr>
          <w:sz w:val="22"/>
        </w:rPr>
        <w:t xml:space="preserve">of a </w:t>
      </w:r>
      <w:r w:rsidR="00360390" w:rsidRPr="00057FAB">
        <w:rPr>
          <w:sz w:val="22"/>
        </w:rPr>
        <w:t>Beneficiary</w:t>
      </w:r>
      <w:r w:rsidR="00841F9A" w:rsidRPr="00057FAB">
        <w:rPr>
          <w:sz w:val="22"/>
        </w:rPr>
        <w:t xml:space="preserve"> </w:t>
      </w:r>
      <w:r w:rsidR="008C49DC" w:rsidRPr="00057FAB">
        <w:rPr>
          <w:sz w:val="22"/>
        </w:rPr>
        <w:t xml:space="preserve">or natural persons in most need and/or to generate an income to ensure its sustainability beyond the end of the present </w:t>
      </w:r>
      <w:r w:rsidR="00707F09" w:rsidRPr="00057FAB">
        <w:rPr>
          <w:sz w:val="22"/>
        </w:rPr>
        <w:t>C</w:t>
      </w:r>
      <w:r w:rsidR="008C49DC" w:rsidRPr="00057FAB">
        <w:rPr>
          <w:sz w:val="22"/>
        </w:rPr>
        <w:t>ontract</w:t>
      </w:r>
      <w:r>
        <w:rPr>
          <w:sz w:val="22"/>
        </w:rPr>
        <w:t>)</w:t>
      </w:r>
    </w:p>
    <w:p w14:paraId="2B299C53" w14:textId="77777777" w:rsidR="00425706" w:rsidRPr="00764A85" w:rsidRDefault="00372586" w:rsidP="00D46EF8">
      <w:pPr>
        <w:shd w:val="clear" w:color="auto" w:fill="D9D9D9"/>
        <w:tabs>
          <w:tab w:val="left" w:pos="-1440"/>
          <w:tab w:val="left" w:pos="-720"/>
        </w:tabs>
        <w:spacing w:before="120"/>
        <w:ind w:left="567" w:hanging="567"/>
        <w:rPr>
          <w:sz w:val="22"/>
          <w:highlight w:val="lightGray"/>
        </w:rPr>
      </w:pPr>
      <w:r w:rsidRPr="00764A85">
        <w:rPr>
          <w:sz w:val="22"/>
          <w:highlight w:val="lightGray"/>
        </w:rPr>
        <w:t>[</w:t>
      </w:r>
      <w:r w:rsidR="00545EBB" w:rsidRPr="00764A85">
        <w:rPr>
          <w:sz w:val="22"/>
          <w:highlight w:val="lightGray"/>
        </w:rPr>
        <w:t>7.2.</w:t>
      </w:r>
      <w:r w:rsidR="00255DC9" w:rsidRPr="00764A85">
        <w:rPr>
          <w:sz w:val="22"/>
          <w:highlight w:val="lightGray"/>
        </w:rPr>
        <w:t>x</w:t>
      </w:r>
      <w:r w:rsidR="00E31298">
        <w:rPr>
          <w:sz w:val="22"/>
          <w:highlight w:val="lightGray"/>
        </w:rPr>
        <w:tab/>
      </w:r>
      <w:proofErr w:type="gramStart"/>
      <w:r w:rsidR="00545EBB" w:rsidRPr="00764A85">
        <w:rPr>
          <w:sz w:val="22"/>
          <w:highlight w:val="lightGray"/>
        </w:rPr>
        <w:t>T</w:t>
      </w:r>
      <w:r w:rsidR="008C49DC" w:rsidRPr="00764A85">
        <w:rPr>
          <w:sz w:val="22"/>
          <w:highlight w:val="lightGray"/>
        </w:rPr>
        <w:t>he</w:t>
      </w:r>
      <w:proofErr w:type="gramEnd"/>
      <w:r w:rsidR="008C49DC" w:rsidRPr="00764A85">
        <w:rPr>
          <w:sz w:val="22"/>
          <w:highlight w:val="lightGray"/>
        </w:rPr>
        <w:t xml:space="preserve"> no-profit rule</w:t>
      </w:r>
      <w:r w:rsidR="00545EBB" w:rsidRPr="00764A85">
        <w:rPr>
          <w:sz w:val="22"/>
          <w:highlight w:val="lightGray"/>
        </w:rPr>
        <w:t xml:space="preserve"> </w:t>
      </w:r>
      <w:r w:rsidRPr="00764A85">
        <w:rPr>
          <w:sz w:val="22"/>
          <w:highlight w:val="lightGray"/>
        </w:rPr>
        <w:t>shall not apply to this Contract</w:t>
      </w:r>
      <w:r w:rsidR="00545EBB" w:rsidRPr="00764A85">
        <w:rPr>
          <w:sz w:val="22"/>
          <w:highlight w:val="lightGray"/>
        </w:rPr>
        <w:t>,</w:t>
      </w:r>
      <w:r w:rsidR="008C49DC" w:rsidRPr="00764A85">
        <w:rPr>
          <w:sz w:val="22"/>
          <w:highlight w:val="lightGray"/>
        </w:rPr>
        <w:t xml:space="preserve"> according to Article </w:t>
      </w:r>
      <w:r w:rsidR="00841F9A" w:rsidRPr="00764A85">
        <w:rPr>
          <w:sz w:val="22"/>
          <w:highlight w:val="lightGray"/>
        </w:rPr>
        <w:t>17</w:t>
      </w:r>
      <w:r w:rsidR="008C49DC" w:rsidRPr="00764A85">
        <w:rPr>
          <w:sz w:val="22"/>
          <w:highlight w:val="lightGray"/>
        </w:rPr>
        <w:t>.</w:t>
      </w:r>
      <w:r w:rsidR="00227F89">
        <w:rPr>
          <w:sz w:val="22"/>
          <w:highlight w:val="lightGray"/>
        </w:rPr>
        <w:t>7</w:t>
      </w:r>
      <w:r w:rsidR="0072031C">
        <w:rPr>
          <w:sz w:val="22"/>
          <w:highlight w:val="lightGray"/>
        </w:rPr>
        <w:t xml:space="preserve"> of Annex I</w:t>
      </w:r>
      <w:r w:rsidR="00751F52">
        <w:rPr>
          <w:sz w:val="22"/>
          <w:highlight w:val="lightGray"/>
        </w:rPr>
        <w:t>I</w:t>
      </w:r>
      <w:r w:rsidR="00425706" w:rsidRPr="00764A85">
        <w:rPr>
          <w:sz w:val="22"/>
          <w:highlight w:val="lightGray"/>
        </w:rPr>
        <w:t xml:space="preserve">: </w:t>
      </w:r>
    </w:p>
    <w:p w14:paraId="765EF936" w14:textId="77777777" w:rsidR="00425706" w:rsidRPr="00057FAB" w:rsidRDefault="00425706" w:rsidP="008C49DC">
      <w:pPr>
        <w:shd w:val="clear" w:color="auto" w:fill="D9D9D9"/>
        <w:tabs>
          <w:tab w:val="left" w:pos="-1440"/>
          <w:tab w:val="left" w:pos="-720"/>
        </w:tabs>
        <w:spacing w:before="120"/>
        <w:ind w:left="567"/>
        <w:rPr>
          <w:sz w:val="22"/>
        </w:rPr>
      </w:pPr>
      <w:r w:rsidRPr="00057FAB">
        <w:rPr>
          <w:sz w:val="22"/>
        </w:rPr>
        <w:t xml:space="preserve">choose </w:t>
      </w:r>
      <w:r w:rsidR="008C49DC" w:rsidRPr="00057FAB">
        <w:rPr>
          <w:sz w:val="22"/>
        </w:rPr>
        <w:t xml:space="preserve"> </w:t>
      </w:r>
    </w:p>
    <w:p w14:paraId="348B7D63" w14:textId="77777777" w:rsidR="008C49DC" w:rsidRPr="00F13D45" w:rsidRDefault="00632D73" w:rsidP="0094748D">
      <w:pPr>
        <w:shd w:val="clear" w:color="auto" w:fill="D9D9D9"/>
        <w:tabs>
          <w:tab w:val="left" w:pos="-1440"/>
          <w:tab w:val="left" w:pos="-720"/>
        </w:tabs>
        <w:spacing w:before="120"/>
        <w:ind w:left="1134" w:hanging="284"/>
        <w:rPr>
          <w:sz w:val="22"/>
          <w:highlight w:val="lightGray"/>
        </w:rPr>
      </w:pPr>
      <w:r w:rsidRPr="00F13D45">
        <w:rPr>
          <w:sz w:val="22"/>
          <w:highlight w:val="lightGray"/>
        </w:rPr>
        <w:t>[</w:t>
      </w:r>
      <w:r w:rsidR="00D46EF8" w:rsidRPr="00F13D45">
        <w:rPr>
          <w:sz w:val="22"/>
          <w:highlight w:val="lightGray"/>
        </w:rPr>
        <w:t>a)</w:t>
      </w:r>
      <w:r w:rsidR="00D46EF8" w:rsidRPr="00F13D45">
        <w:rPr>
          <w:sz w:val="22"/>
          <w:highlight w:val="lightGray"/>
        </w:rPr>
        <w:tab/>
      </w:r>
      <w:r w:rsidR="008C49DC" w:rsidRPr="00F13D45">
        <w:rPr>
          <w:sz w:val="22"/>
          <w:highlight w:val="lightGray"/>
        </w:rPr>
        <w:t xml:space="preserve">actions the objective of which is the reinforcement of the financial capacity of a </w:t>
      </w:r>
      <w:r w:rsidR="00360390" w:rsidRPr="00F13D45">
        <w:rPr>
          <w:sz w:val="22"/>
          <w:highlight w:val="lightGray"/>
        </w:rPr>
        <w:t>Beneficiary</w:t>
      </w:r>
      <w:r w:rsidRPr="00F13D45">
        <w:rPr>
          <w:sz w:val="22"/>
          <w:highlight w:val="lightGray"/>
        </w:rPr>
        <w:t>]</w:t>
      </w:r>
    </w:p>
    <w:p w14:paraId="665600AD" w14:textId="77777777" w:rsidR="005F73F9" w:rsidRDefault="00632D73" w:rsidP="0094748D">
      <w:pPr>
        <w:shd w:val="clear" w:color="auto" w:fill="D9D9D9"/>
        <w:tabs>
          <w:tab w:val="left" w:pos="-1440"/>
          <w:tab w:val="left" w:pos="-720"/>
        </w:tabs>
        <w:spacing w:before="120"/>
        <w:ind w:left="1134" w:hanging="284"/>
        <w:jc w:val="both"/>
        <w:rPr>
          <w:color w:val="FF0000"/>
          <w:sz w:val="22"/>
          <w:highlight w:val="lightGray"/>
        </w:rPr>
      </w:pPr>
      <w:r w:rsidRPr="00F13D45">
        <w:rPr>
          <w:sz w:val="22"/>
          <w:highlight w:val="lightGray"/>
        </w:rPr>
        <w:t>[</w:t>
      </w:r>
      <w:r w:rsidR="00D46EF8" w:rsidRPr="00F13D45">
        <w:rPr>
          <w:sz w:val="22"/>
          <w:highlight w:val="lightGray"/>
        </w:rPr>
        <w:t>b)</w:t>
      </w:r>
      <w:r w:rsidR="00D46EF8" w:rsidRPr="00F13D45">
        <w:rPr>
          <w:sz w:val="22"/>
          <w:highlight w:val="lightGray"/>
        </w:rPr>
        <w:tab/>
      </w:r>
      <w:r w:rsidR="008C49DC" w:rsidRPr="00F13D45">
        <w:rPr>
          <w:sz w:val="22"/>
          <w:highlight w:val="lightGray"/>
        </w:rPr>
        <w:t xml:space="preserve">actions </w:t>
      </w:r>
      <w:r w:rsidR="00DC3162">
        <w:rPr>
          <w:sz w:val="22"/>
        </w:rPr>
        <w:t xml:space="preserve">of the </w:t>
      </w:r>
      <w:r w:rsidR="00DC3162" w:rsidRPr="00DC3162">
        <w:rPr>
          <w:sz w:val="22"/>
        </w:rPr>
        <w:t>grant may not produce a profit for the Beneficiary(</w:t>
      </w:r>
      <w:proofErr w:type="spellStart"/>
      <w:r w:rsidR="00DC3162" w:rsidRPr="00DC3162">
        <w:rPr>
          <w:sz w:val="22"/>
        </w:rPr>
        <w:t>ies</w:t>
      </w:r>
      <w:proofErr w:type="spellEnd"/>
      <w:r w:rsidR="00DC3162" w:rsidRPr="00DC3162">
        <w:rPr>
          <w:sz w:val="22"/>
        </w:rPr>
        <w:t xml:space="preserve">), </w:t>
      </w:r>
    </w:p>
    <w:p w14:paraId="0C64D227" w14:textId="77777777" w:rsidR="00C31198" w:rsidRPr="00C31198" w:rsidRDefault="00632D73" w:rsidP="0094748D">
      <w:pPr>
        <w:shd w:val="clear" w:color="auto" w:fill="D9D9D9"/>
        <w:tabs>
          <w:tab w:val="left" w:pos="-1440"/>
          <w:tab w:val="left" w:pos="-720"/>
        </w:tabs>
        <w:spacing w:before="120"/>
        <w:ind w:left="1134" w:hanging="284"/>
        <w:jc w:val="both"/>
        <w:rPr>
          <w:sz w:val="22"/>
        </w:rPr>
      </w:pPr>
      <w:r w:rsidRPr="00F13D45">
        <w:rPr>
          <w:sz w:val="22"/>
          <w:highlight w:val="lightGray"/>
        </w:rPr>
        <w:t>[</w:t>
      </w:r>
      <w:r w:rsidR="00D46EF8" w:rsidRPr="00F13D45">
        <w:rPr>
          <w:sz w:val="22"/>
          <w:highlight w:val="lightGray"/>
        </w:rPr>
        <w:t>c)</w:t>
      </w:r>
      <w:r w:rsidR="00D46EF8" w:rsidRPr="00F13D45">
        <w:rPr>
          <w:sz w:val="22"/>
          <w:highlight w:val="lightGray"/>
        </w:rPr>
        <w:tab/>
      </w:r>
      <w:r w:rsidR="008C49DC" w:rsidRPr="00F13D45">
        <w:rPr>
          <w:sz w:val="22"/>
          <w:highlight w:val="lightGray"/>
        </w:rPr>
        <w:t>other direct support paid to natural persons in most need, such as unemployed persons and refugees</w:t>
      </w:r>
      <w:r w:rsidRPr="00F13D45">
        <w:rPr>
          <w:sz w:val="22"/>
          <w:highlight w:val="lightGray"/>
        </w:rPr>
        <w:t>]</w:t>
      </w:r>
      <w:r w:rsidR="00545EBB" w:rsidRPr="00632D73">
        <w:rPr>
          <w:sz w:val="22"/>
          <w:highlight w:val="lightGray"/>
        </w:rPr>
        <w:t>]</w:t>
      </w:r>
    </w:p>
    <w:p w14:paraId="12DEEBD3" w14:textId="77777777" w:rsidR="00E31298" w:rsidRPr="00057FAB" w:rsidRDefault="00156403" w:rsidP="00F13D45">
      <w:pPr>
        <w:tabs>
          <w:tab w:val="left" w:pos="-1440"/>
          <w:tab w:val="left" w:pos="-720"/>
        </w:tabs>
        <w:spacing w:before="120"/>
        <w:jc w:val="both"/>
        <w:rPr>
          <w:i/>
          <w:sz w:val="22"/>
        </w:rPr>
      </w:pPr>
      <w:r w:rsidRPr="00764A85">
        <w:rPr>
          <w:sz w:val="22"/>
          <w:highlight w:val="lightGray"/>
        </w:rPr>
        <w:t>[7.2.x</w:t>
      </w:r>
      <w:r>
        <w:rPr>
          <w:sz w:val="22"/>
          <w:highlight w:val="lightGray"/>
        </w:rPr>
        <w:tab/>
      </w:r>
      <w:r w:rsidRPr="00FC19B6">
        <w:rPr>
          <w:sz w:val="22"/>
          <w:highlight w:val="lightGray"/>
        </w:rPr>
        <w:t>By derogation to Article 15.</w:t>
      </w:r>
      <w:r>
        <w:rPr>
          <w:sz w:val="22"/>
          <w:highlight w:val="lightGray"/>
        </w:rPr>
        <w:t>9</w:t>
      </w:r>
      <w:r w:rsidR="0072031C">
        <w:rPr>
          <w:sz w:val="22"/>
          <w:highlight w:val="lightGray"/>
        </w:rPr>
        <w:t xml:space="preserve"> of Annex </w:t>
      </w:r>
      <w:r w:rsidR="00751F52">
        <w:rPr>
          <w:sz w:val="22"/>
          <w:highlight w:val="lightGray"/>
        </w:rPr>
        <w:t>I</w:t>
      </w:r>
      <w:r w:rsidR="00FA28DF">
        <w:rPr>
          <w:sz w:val="22"/>
          <w:highlight w:val="lightGray"/>
        </w:rPr>
        <w:t>I</w:t>
      </w:r>
      <w:r>
        <w:rPr>
          <w:sz w:val="22"/>
          <w:highlight w:val="lightGray"/>
        </w:rPr>
        <w:t xml:space="preserve">, </w:t>
      </w:r>
      <w:r w:rsidR="002E3A3A">
        <w:rPr>
          <w:sz w:val="22"/>
          <w:highlight w:val="lightGray"/>
        </w:rPr>
        <w:t xml:space="preserve">and </w:t>
      </w:r>
      <w:r w:rsidR="002E3A3A" w:rsidRPr="002E3A3A">
        <w:rPr>
          <w:sz w:val="22"/>
          <w:highlight w:val="lightGray"/>
        </w:rPr>
        <w:t>for the purpose of reporting,</w:t>
      </w:r>
      <w:r w:rsidR="002E3A3A" w:rsidRPr="002E3A3A">
        <w:rPr>
          <w:bCs/>
          <w:sz w:val="22"/>
          <w:highlight w:val="lightGray"/>
        </w:rPr>
        <w:t xml:space="preserve"> conversion into </w:t>
      </w:r>
      <w:r w:rsidR="002E3A3A" w:rsidRPr="002E3A3A">
        <w:rPr>
          <w:sz w:val="22"/>
          <w:highlight w:val="lightGray"/>
        </w:rPr>
        <w:t>the</w:t>
      </w:r>
      <w:r w:rsidR="002E3A3A" w:rsidRPr="002E3A3A">
        <w:rPr>
          <w:bCs/>
          <w:sz w:val="22"/>
          <w:highlight w:val="lightGray"/>
        </w:rPr>
        <w:t xml:space="preserve"> currency set in the Special Conditions shall be made using the rate of exchange </w:t>
      </w:r>
      <w:r w:rsidR="00057FAB" w:rsidRPr="00057FAB">
        <w:rPr>
          <w:i/>
          <w:sz w:val="22"/>
        </w:rPr>
        <w:t>[</w:t>
      </w:r>
      <w:r w:rsidR="009A58DE" w:rsidRPr="00057FAB">
        <w:rPr>
          <w:i/>
          <w:sz w:val="22"/>
        </w:rPr>
        <w:t>insert here the exchange rate to be used f</w:t>
      </w:r>
      <w:r w:rsidR="00DF3928" w:rsidRPr="00057FAB">
        <w:rPr>
          <w:i/>
          <w:sz w:val="22"/>
        </w:rPr>
        <w:t>or</w:t>
      </w:r>
      <w:r w:rsidR="009A58DE" w:rsidRPr="00057FAB">
        <w:rPr>
          <w:i/>
          <w:sz w:val="22"/>
        </w:rPr>
        <w:t xml:space="preserve"> reporting according to </w:t>
      </w:r>
      <w:r w:rsidR="006B3375" w:rsidRPr="00057FAB">
        <w:rPr>
          <w:i/>
          <w:sz w:val="22"/>
        </w:rPr>
        <w:t>Article</w:t>
      </w:r>
      <w:r w:rsidR="009A58DE" w:rsidRPr="00057FAB">
        <w:rPr>
          <w:i/>
          <w:sz w:val="22"/>
        </w:rPr>
        <w:t xml:space="preserve"> 15.9 </w:t>
      </w:r>
      <w:r w:rsidR="007B51F1" w:rsidRPr="00057FAB">
        <w:rPr>
          <w:i/>
          <w:sz w:val="22"/>
        </w:rPr>
        <w:t xml:space="preserve">of Annex </w:t>
      </w:r>
      <w:proofErr w:type="gramStart"/>
      <w:r w:rsidR="007B51F1" w:rsidRPr="00057FAB">
        <w:rPr>
          <w:i/>
          <w:sz w:val="22"/>
        </w:rPr>
        <w:t>II</w:t>
      </w:r>
      <w:r w:rsidR="009A58DE" w:rsidRPr="00057FAB">
        <w:rPr>
          <w:i/>
          <w:sz w:val="22"/>
        </w:rPr>
        <w:t xml:space="preserve"> </w:t>
      </w:r>
      <w:r w:rsidR="00057FAB" w:rsidRPr="00057FAB">
        <w:rPr>
          <w:i/>
          <w:sz w:val="22"/>
        </w:rPr>
        <w:t>]</w:t>
      </w:r>
      <w:proofErr w:type="gramEnd"/>
    </w:p>
    <w:p w14:paraId="0D09C656" w14:textId="77777777" w:rsidR="00A237C3" w:rsidRPr="00057FAB" w:rsidRDefault="00E31298" w:rsidP="00A237C3">
      <w:pPr>
        <w:tabs>
          <w:tab w:val="left" w:pos="-1440"/>
          <w:tab w:val="left" w:pos="-720"/>
        </w:tabs>
        <w:spacing w:before="120"/>
        <w:jc w:val="both"/>
        <w:rPr>
          <w:i/>
          <w:sz w:val="22"/>
        </w:rPr>
      </w:pPr>
      <w:r w:rsidRPr="00E970BD">
        <w:rPr>
          <w:sz w:val="20"/>
          <w:highlight w:val="lightGray"/>
        </w:rPr>
        <w:t xml:space="preserve">[7.2.x </w:t>
      </w:r>
      <w:proofErr w:type="gramStart"/>
      <w:r w:rsidR="00A237C3" w:rsidRPr="00F13D45">
        <w:rPr>
          <w:sz w:val="22"/>
          <w:highlight w:val="lightGray"/>
        </w:rPr>
        <w:t>By</w:t>
      </w:r>
      <w:proofErr w:type="gramEnd"/>
      <w:r w:rsidR="00A237C3" w:rsidRPr="00F13D45">
        <w:rPr>
          <w:sz w:val="22"/>
          <w:highlight w:val="lightGray"/>
        </w:rPr>
        <w:t xml:space="preserve"> derogation to Article 15.1</w:t>
      </w:r>
      <w:r w:rsidR="00A237C3">
        <w:rPr>
          <w:sz w:val="22"/>
          <w:highlight w:val="lightGray"/>
        </w:rPr>
        <w:t>0</w:t>
      </w:r>
      <w:r w:rsidR="00FA28DF">
        <w:rPr>
          <w:sz w:val="22"/>
          <w:highlight w:val="lightGray"/>
        </w:rPr>
        <w:t xml:space="preserve"> of Annex II</w:t>
      </w:r>
      <w:r w:rsidR="00A237C3">
        <w:rPr>
          <w:sz w:val="22"/>
          <w:highlight w:val="lightGray"/>
        </w:rPr>
        <w:t>, c</w:t>
      </w:r>
      <w:r w:rsidR="00A237C3" w:rsidRPr="00A237C3">
        <w:rPr>
          <w:sz w:val="22"/>
          <w:highlight w:val="lightGray"/>
        </w:rPr>
        <w:t>osts incurred in other currencies than the one used in the Beneficiary(</w:t>
      </w:r>
      <w:proofErr w:type="spellStart"/>
      <w:r w:rsidR="00A237C3" w:rsidRPr="00A237C3">
        <w:rPr>
          <w:sz w:val="22"/>
          <w:highlight w:val="lightGray"/>
        </w:rPr>
        <w:t>ies</w:t>
      </w:r>
      <w:proofErr w:type="spellEnd"/>
      <w:r w:rsidR="00A237C3" w:rsidRPr="00A237C3">
        <w:rPr>
          <w:sz w:val="22"/>
          <w:highlight w:val="lightGray"/>
        </w:rPr>
        <w:t xml:space="preserve">)'s accounts shall be converted </w:t>
      </w:r>
      <w:r w:rsidR="00240510" w:rsidRPr="00057FAB">
        <w:rPr>
          <w:i/>
          <w:sz w:val="22"/>
        </w:rPr>
        <w:t>(</w:t>
      </w:r>
      <w:r w:rsidR="00A237C3" w:rsidRPr="00057FAB">
        <w:rPr>
          <w:i/>
          <w:sz w:val="22"/>
        </w:rPr>
        <w:t>insert where the conditions listed in Article 15.10 of Annex II are not fulfilled</w:t>
      </w:r>
      <w:r w:rsidR="00240510" w:rsidRPr="00057FAB">
        <w:rPr>
          <w:i/>
          <w:sz w:val="22"/>
        </w:rPr>
        <w:t>)</w:t>
      </w:r>
    </w:p>
    <w:p w14:paraId="4B0A8C10" w14:textId="77777777" w:rsidR="00E7716F" w:rsidRDefault="00E7716F" w:rsidP="0094748D">
      <w:pPr>
        <w:tabs>
          <w:tab w:val="left" w:pos="-1440"/>
          <w:tab w:val="left" w:pos="-720"/>
        </w:tabs>
        <w:spacing w:before="120"/>
        <w:ind w:left="567"/>
        <w:jc w:val="both"/>
        <w:rPr>
          <w:highlight w:val="yellow"/>
        </w:rPr>
      </w:pPr>
    </w:p>
    <w:p w14:paraId="6EAC0BD7" w14:textId="77777777" w:rsidR="00173658" w:rsidRDefault="00057FAB" w:rsidP="00173658">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 xml:space="preserve"> </w:t>
      </w:r>
      <w:r w:rsidR="00173658">
        <w:rPr>
          <w:sz w:val="22"/>
          <w:szCs w:val="22"/>
          <w:highlight w:val="lightGray"/>
          <w:lang w:eastAsia="en-GB"/>
        </w:rPr>
        <w:t>[7.2.x</w:t>
      </w:r>
      <w:r w:rsidR="00173658">
        <w:rPr>
          <w:sz w:val="22"/>
          <w:szCs w:val="22"/>
          <w:highlight w:val="lightGray"/>
          <w:lang w:eastAsia="en-GB"/>
        </w:rPr>
        <w:tab/>
      </w:r>
      <w:proofErr w:type="gramStart"/>
      <w:r w:rsidR="00173658" w:rsidRPr="00764A85">
        <w:rPr>
          <w:sz w:val="22"/>
          <w:szCs w:val="22"/>
          <w:highlight w:val="lightGray"/>
          <w:lang w:eastAsia="en-GB"/>
        </w:rPr>
        <w:t>The</w:t>
      </w:r>
      <w:proofErr w:type="gramEnd"/>
      <w:r w:rsidR="00173658" w:rsidRPr="00764A85">
        <w:rPr>
          <w:sz w:val="22"/>
          <w:szCs w:val="22"/>
          <w:highlight w:val="lightGray"/>
          <w:lang w:eastAsia="en-GB"/>
        </w:rPr>
        <w:t xml:space="preserve"> initial pre-financing payme</w:t>
      </w:r>
      <w:r w:rsidR="00173658">
        <w:rPr>
          <w:sz w:val="22"/>
          <w:szCs w:val="22"/>
          <w:highlight w:val="lightGray"/>
          <w:lang w:eastAsia="en-GB"/>
        </w:rPr>
        <w:t>nt shall be made within 60</w:t>
      </w:r>
      <w:r w:rsidR="00173658" w:rsidRPr="00764A85">
        <w:rPr>
          <w:sz w:val="22"/>
          <w:szCs w:val="22"/>
          <w:highlight w:val="lightGray"/>
          <w:lang w:eastAsia="en-GB"/>
        </w:rPr>
        <w:t xml:space="preserve"> days of receipt of the payment request by the Contracting Authority.</w:t>
      </w:r>
    </w:p>
    <w:p w14:paraId="594F22A0" w14:textId="77777777" w:rsidR="003D25C3" w:rsidRDefault="00057FAB" w:rsidP="007205EA">
      <w:pPr>
        <w:tabs>
          <w:tab w:val="left" w:pos="-1440"/>
          <w:tab w:val="left" w:pos="-720"/>
        </w:tabs>
        <w:spacing w:before="120"/>
        <w:ind w:left="567" w:hanging="567"/>
        <w:jc w:val="both"/>
        <w:rPr>
          <w:sz w:val="22"/>
          <w:szCs w:val="22"/>
          <w:lang w:eastAsia="en-GB"/>
        </w:rPr>
      </w:pPr>
      <w:r>
        <w:rPr>
          <w:sz w:val="22"/>
          <w:szCs w:val="22"/>
          <w:highlight w:val="lightGray"/>
          <w:lang w:eastAsia="en-GB"/>
        </w:rPr>
        <w:t xml:space="preserve"> </w:t>
      </w:r>
      <w:r w:rsidR="007205EA">
        <w:rPr>
          <w:sz w:val="22"/>
          <w:szCs w:val="22"/>
          <w:highlight w:val="lightGray"/>
          <w:lang w:eastAsia="en-GB"/>
        </w:rPr>
        <w:t>[7.2.x</w:t>
      </w:r>
      <w:r w:rsidR="007205EA">
        <w:rPr>
          <w:sz w:val="22"/>
          <w:szCs w:val="22"/>
          <w:highlight w:val="lightGray"/>
          <w:lang w:eastAsia="en-GB"/>
        </w:rPr>
        <w:tab/>
      </w:r>
      <w:r w:rsidR="003D25C3" w:rsidRPr="00764A85">
        <w:rPr>
          <w:sz w:val="22"/>
          <w:szCs w:val="22"/>
          <w:highlight w:val="lightGray"/>
          <w:lang w:eastAsia="en-GB"/>
        </w:rPr>
        <w:t>Any report</w:t>
      </w:r>
      <w:r w:rsidR="00F03CEB" w:rsidRPr="00764A85">
        <w:rPr>
          <w:sz w:val="22"/>
          <w:szCs w:val="22"/>
          <w:highlight w:val="lightGray"/>
          <w:lang w:eastAsia="en-GB"/>
        </w:rPr>
        <w:t xml:space="preserve"> sent with a payment request for further </w:t>
      </w:r>
      <w:proofErr w:type="gramStart"/>
      <w:r w:rsidR="00F03CEB" w:rsidRPr="00764A85">
        <w:rPr>
          <w:sz w:val="22"/>
          <w:szCs w:val="22"/>
          <w:highlight w:val="lightGray"/>
          <w:lang w:eastAsia="en-GB"/>
        </w:rPr>
        <w:t>prefinancing</w:t>
      </w:r>
      <w:proofErr w:type="gramEnd"/>
      <w:r w:rsidR="00F03CEB" w:rsidRPr="00764A85">
        <w:rPr>
          <w:sz w:val="22"/>
          <w:szCs w:val="22"/>
          <w:highlight w:val="lightGray"/>
          <w:lang w:eastAsia="en-GB"/>
        </w:rPr>
        <w:t xml:space="preserve"> or payment of the balance</w:t>
      </w:r>
      <w:r w:rsidR="003D25C3" w:rsidRPr="00764A85">
        <w:rPr>
          <w:sz w:val="22"/>
          <w:szCs w:val="22"/>
          <w:highlight w:val="lightGray"/>
          <w:lang w:eastAsia="en-GB"/>
        </w:rPr>
        <w:t xml:space="preserve"> shall be considered approved if there is no written reply from the Contracting Authority within 45 days of its receipt accompanied by the required documents. Approval of the reports </w:t>
      </w:r>
      <w:r w:rsidR="00EE5626" w:rsidRPr="00764A85">
        <w:rPr>
          <w:sz w:val="22"/>
          <w:szCs w:val="22"/>
          <w:highlight w:val="lightGray"/>
          <w:lang w:eastAsia="en-GB"/>
        </w:rPr>
        <w:t>does</w:t>
      </w:r>
      <w:r w:rsidR="003D25C3" w:rsidRPr="00764A85">
        <w:rPr>
          <w:sz w:val="22"/>
          <w:szCs w:val="22"/>
          <w:highlight w:val="lightGray"/>
          <w:lang w:eastAsia="en-GB"/>
        </w:rPr>
        <w:t xml:space="preserve"> not imply recognition of their regularity nor of the authenticity, completeness and correctness of the declarations and information they contain.]</w:t>
      </w:r>
    </w:p>
    <w:p w14:paraId="4BF04724" w14:textId="77777777" w:rsidR="000B771A" w:rsidRPr="00764A85" w:rsidRDefault="000B771A" w:rsidP="007205EA">
      <w:pPr>
        <w:tabs>
          <w:tab w:val="left" w:pos="-1440"/>
          <w:tab w:val="left" w:pos="-720"/>
        </w:tabs>
        <w:spacing w:before="120"/>
        <w:ind w:left="567" w:hanging="567"/>
        <w:jc w:val="both"/>
        <w:rPr>
          <w:sz w:val="22"/>
          <w:szCs w:val="22"/>
          <w:lang w:eastAsia="en-GB"/>
        </w:rPr>
      </w:pPr>
    </w:p>
    <w:p w14:paraId="5BE602F3" w14:textId="77777777" w:rsidR="00544550" w:rsidRPr="00764A85" w:rsidRDefault="00057FAB" w:rsidP="00290199">
      <w:pPr>
        <w:keepNext/>
        <w:spacing w:before="120" w:after="240"/>
        <w:jc w:val="both"/>
        <w:rPr>
          <w:sz w:val="22"/>
          <w:szCs w:val="22"/>
        </w:rPr>
      </w:pPr>
      <w:r>
        <w:rPr>
          <w:sz w:val="22"/>
          <w:szCs w:val="22"/>
        </w:rPr>
        <w:t>Done in English</w:t>
      </w:r>
      <w:r w:rsidR="00544550" w:rsidRPr="00764A85">
        <w:rPr>
          <w:sz w:val="22"/>
          <w:szCs w:val="22"/>
        </w:rPr>
        <w:t xml:space="preserve"> in </w:t>
      </w:r>
      <w:r w:rsidR="00632D73" w:rsidRPr="007C249A">
        <w:rPr>
          <w:i/>
          <w:sz w:val="22"/>
          <w:szCs w:val="22"/>
        </w:rPr>
        <w:t>[</w:t>
      </w:r>
      <w:r w:rsidR="00530FAD" w:rsidRPr="007C249A">
        <w:rPr>
          <w:i/>
          <w:sz w:val="22"/>
          <w:szCs w:val="22"/>
          <w:highlight w:val="lightGray"/>
        </w:rPr>
        <w:t>two</w:t>
      </w:r>
      <w:r w:rsidR="00632D73" w:rsidRPr="007C249A">
        <w:rPr>
          <w:i/>
          <w:sz w:val="22"/>
          <w:szCs w:val="22"/>
          <w:highlight w:val="lightGray"/>
        </w:rPr>
        <w:t>] [</w:t>
      </w:r>
      <w:proofErr w:type="gramStart"/>
      <w:r w:rsidR="00544550" w:rsidRPr="007C249A">
        <w:rPr>
          <w:i/>
          <w:sz w:val="22"/>
          <w:szCs w:val="22"/>
          <w:highlight w:val="lightGray"/>
        </w:rPr>
        <w:t>three</w:t>
      </w:r>
      <w:r w:rsidR="006944D0">
        <w:rPr>
          <w:i/>
          <w:sz w:val="22"/>
          <w:szCs w:val="22"/>
        </w:rPr>
        <w:t>(</w:t>
      </w:r>
      <w:proofErr w:type="gramEnd"/>
      <w:r w:rsidR="006944D0">
        <w:rPr>
          <w:i/>
          <w:sz w:val="22"/>
          <w:szCs w:val="22"/>
        </w:rPr>
        <w:t>in case there is a third D</w:t>
      </w:r>
      <w:r w:rsidR="007C249A">
        <w:rPr>
          <w:i/>
          <w:sz w:val="22"/>
          <w:szCs w:val="22"/>
        </w:rPr>
        <w:t>onor)</w:t>
      </w:r>
      <w:r w:rsidR="00632D73" w:rsidRPr="007C249A">
        <w:rPr>
          <w:i/>
          <w:sz w:val="22"/>
          <w:szCs w:val="22"/>
        </w:rPr>
        <w:t>]</w:t>
      </w:r>
      <w:r w:rsidR="00544550" w:rsidRPr="00764A85">
        <w:rPr>
          <w:sz w:val="22"/>
          <w:szCs w:val="22"/>
        </w:rPr>
        <w:t xml:space="preserve"> originals, </w:t>
      </w:r>
      <w:r>
        <w:rPr>
          <w:sz w:val="22"/>
          <w:szCs w:val="22"/>
        </w:rPr>
        <w:t xml:space="preserve">one original being for the Contracting Authority </w:t>
      </w:r>
      <w:r w:rsidR="00544550" w:rsidRPr="00764A85">
        <w:rPr>
          <w:sz w:val="22"/>
          <w:szCs w:val="22"/>
        </w:rPr>
        <w:t xml:space="preserve">and one original being for the </w:t>
      </w:r>
      <w:r w:rsidR="00360390" w:rsidRPr="00764A85">
        <w:rPr>
          <w:sz w:val="22"/>
          <w:szCs w:val="22"/>
        </w:rPr>
        <w:t>Beneficiary(</w:t>
      </w:r>
      <w:proofErr w:type="spellStart"/>
      <w:r w:rsidR="00360390" w:rsidRPr="00764A85">
        <w:rPr>
          <w:sz w:val="22"/>
          <w:szCs w:val="22"/>
        </w:rPr>
        <w:t>ies</w:t>
      </w:r>
      <w:proofErr w:type="spellEnd"/>
      <w:r w:rsidR="00360390" w:rsidRPr="00764A85">
        <w:rPr>
          <w:sz w:val="22"/>
          <w:szCs w:val="22"/>
        </w:rPr>
        <w:t>)</w:t>
      </w:r>
      <w:r>
        <w:rPr>
          <w:sz w:val="22"/>
          <w:szCs w:val="22"/>
        </w:rPr>
        <w:t xml:space="preserve"> [</w:t>
      </w:r>
      <w:r w:rsidRPr="00057FAB">
        <w:rPr>
          <w:sz w:val="22"/>
          <w:szCs w:val="22"/>
          <w:highlight w:val="lightGray"/>
        </w:rPr>
        <w:t>and one for the Donor</w:t>
      </w:r>
      <w:r>
        <w:rPr>
          <w:sz w:val="22"/>
          <w:szCs w:val="22"/>
        </w:rPr>
        <w:t>]</w:t>
      </w:r>
      <w:r w:rsidR="00544550"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5762E255" w14:textId="77777777" w:rsidTr="00AC591B">
        <w:trPr>
          <w:jc w:val="center"/>
        </w:trPr>
        <w:tc>
          <w:tcPr>
            <w:tcW w:w="4643" w:type="dxa"/>
            <w:gridSpan w:val="2"/>
          </w:tcPr>
          <w:p w14:paraId="220BFA13" w14:textId="77777777" w:rsidR="009A0B27" w:rsidRPr="00764A85" w:rsidRDefault="009A0B27" w:rsidP="007205EA">
            <w:pPr>
              <w:pStyle w:val="BodyText"/>
              <w:spacing w:before="120" w:after="120"/>
              <w:rPr>
                <w:b/>
                <w:sz w:val="22"/>
              </w:rPr>
            </w:pPr>
            <w:r w:rsidRPr="00764A85">
              <w:rPr>
                <w:b/>
                <w:sz w:val="22"/>
              </w:rPr>
              <w:t xml:space="preserve">For the </w:t>
            </w:r>
            <w:r w:rsidR="00360390" w:rsidRPr="00764A85">
              <w:rPr>
                <w:b/>
                <w:sz w:val="22"/>
              </w:rPr>
              <w:t>Beneficiary(</w:t>
            </w:r>
            <w:proofErr w:type="spellStart"/>
            <w:r w:rsidR="00360390" w:rsidRPr="00764A85">
              <w:rPr>
                <w:b/>
                <w:sz w:val="22"/>
              </w:rPr>
              <w:t>ies</w:t>
            </w:r>
            <w:proofErr w:type="spellEnd"/>
            <w:r w:rsidR="00360390" w:rsidRPr="00764A85">
              <w:rPr>
                <w:b/>
                <w:sz w:val="22"/>
              </w:rPr>
              <w:t>)</w:t>
            </w:r>
            <w:r w:rsidRPr="00764A85">
              <w:rPr>
                <w:b/>
                <w:sz w:val="22"/>
              </w:rPr>
              <w:t xml:space="preserve"> </w:t>
            </w:r>
            <w:r w:rsidR="00A67062">
              <w:rPr>
                <w:rStyle w:val="FootnoteReference"/>
                <w:b/>
                <w:sz w:val="22"/>
              </w:rPr>
              <w:footnoteReference w:id="3"/>
            </w:r>
          </w:p>
        </w:tc>
        <w:tc>
          <w:tcPr>
            <w:tcW w:w="4643" w:type="dxa"/>
            <w:gridSpan w:val="2"/>
          </w:tcPr>
          <w:p w14:paraId="40855D8E" w14:textId="77777777" w:rsidR="009A0B27" w:rsidRPr="00764A85" w:rsidRDefault="009A0B27" w:rsidP="007205EA">
            <w:pPr>
              <w:pStyle w:val="BodyText"/>
              <w:spacing w:before="120" w:after="120"/>
              <w:rPr>
                <w:b/>
                <w:sz w:val="22"/>
              </w:rPr>
            </w:pPr>
            <w:r w:rsidRPr="00764A85">
              <w:rPr>
                <w:b/>
                <w:sz w:val="22"/>
              </w:rPr>
              <w:t>For the Contracting Authority</w:t>
            </w:r>
          </w:p>
        </w:tc>
      </w:tr>
      <w:tr w:rsidR="009A0B27" w:rsidRPr="00764A85" w14:paraId="6008CE04" w14:textId="77777777" w:rsidTr="00AC591B">
        <w:trPr>
          <w:jc w:val="center"/>
        </w:trPr>
        <w:tc>
          <w:tcPr>
            <w:tcW w:w="1384" w:type="dxa"/>
          </w:tcPr>
          <w:p w14:paraId="0791B73E" w14:textId="77777777" w:rsidR="009A0B27" w:rsidRPr="00764A85" w:rsidRDefault="009A0B27" w:rsidP="007205EA">
            <w:pPr>
              <w:pStyle w:val="BodyText"/>
              <w:spacing w:before="120" w:after="240"/>
              <w:rPr>
                <w:sz w:val="22"/>
              </w:rPr>
            </w:pPr>
            <w:r w:rsidRPr="00764A85">
              <w:rPr>
                <w:sz w:val="22"/>
              </w:rPr>
              <w:t>Name</w:t>
            </w:r>
          </w:p>
        </w:tc>
        <w:tc>
          <w:tcPr>
            <w:tcW w:w="3259" w:type="dxa"/>
          </w:tcPr>
          <w:p w14:paraId="7C2F6943" w14:textId="77777777" w:rsidR="009A0B27" w:rsidRPr="00764A85" w:rsidRDefault="009A0B27" w:rsidP="007205EA">
            <w:pPr>
              <w:pStyle w:val="BodyText"/>
              <w:spacing w:before="120" w:after="240"/>
              <w:rPr>
                <w:sz w:val="22"/>
              </w:rPr>
            </w:pPr>
          </w:p>
        </w:tc>
        <w:tc>
          <w:tcPr>
            <w:tcW w:w="2321" w:type="dxa"/>
          </w:tcPr>
          <w:p w14:paraId="41E621D5" w14:textId="77777777" w:rsidR="009A0B27" w:rsidRPr="00764A85" w:rsidRDefault="009A0B27" w:rsidP="007205EA">
            <w:pPr>
              <w:pStyle w:val="BodyText"/>
              <w:spacing w:before="120" w:after="240"/>
              <w:rPr>
                <w:sz w:val="22"/>
              </w:rPr>
            </w:pPr>
            <w:r w:rsidRPr="00764A85">
              <w:rPr>
                <w:sz w:val="22"/>
              </w:rPr>
              <w:t>Name</w:t>
            </w:r>
          </w:p>
        </w:tc>
        <w:tc>
          <w:tcPr>
            <w:tcW w:w="2322" w:type="dxa"/>
          </w:tcPr>
          <w:p w14:paraId="34ACB0D6" w14:textId="77777777" w:rsidR="009A0B27" w:rsidRPr="00764A85" w:rsidRDefault="009A0B27" w:rsidP="007205EA">
            <w:pPr>
              <w:pStyle w:val="BodyText"/>
              <w:spacing w:before="120" w:after="240"/>
              <w:rPr>
                <w:sz w:val="22"/>
              </w:rPr>
            </w:pPr>
          </w:p>
        </w:tc>
      </w:tr>
      <w:tr w:rsidR="009A0B27" w:rsidRPr="00764A85" w14:paraId="2AC95BE2" w14:textId="77777777" w:rsidTr="00AC591B">
        <w:trPr>
          <w:jc w:val="center"/>
        </w:trPr>
        <w:tc>
          <w:tcPr>
            <w:tcW w:w="1384" w:type="dxa"/>
          </w:tcPr>
          <w:p w14:paraId="4CD46C35"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0C4817A8" w14:textId="77777777" w:rsidR="009A0B27" w:rsidRPr="00764A85" w:rsidRDefault="009A0B27" w:rsidP="007205EA">
            <w:pPr>
              <w:pStyle w:val="BodyText"/>
              <w:spacing w:before="120" w:after="240"/>
              <w:rPr>
                <w:sz w:val="22"/>
              </w:rPr>
            </w:pPr>
          </w:p>
        </w:tc>
        <w:tc>
          <w:tcPr>
            <w:tcW w:w="2321" w:type="dxa"/>
          </w:tcPr>
          <w:p w14:paraId="44C038CF"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1D50408E" w14:textId="77777777" w:rsidR="009A0B27" w:rsidRPr="00764A85" w:rsidRDefault="009A0B27" w:rsidP="007205EA">
            <w:pPr>
              <w:pStyle w:val="BodyText"/>
              <w:spacing w:before="120" w:after="240"/>
              <w:rPr>
                <w:sz w:val="22"/>
              </w:rPr>
            </w:pPr>
          </w:p>
        </w:tc>
      </w:tr>
      <w:tr w:rsidR="009A0B27" w:rsidRPr="00764A85" w14:paraId="54DDDBEA" w14:textId="77777777" w:rsidTr="00AC591B">
        <w:trPr>
          <w:jc w:val="center"/>
        </w:trPr>
        <w:tc>
          <w:tcPr>
            <w:tcW w:w="1384" w:type="dxa"/>
          </w:tcPr>
          <w:p w14:paraId="09D6ADD8" w14:textId="77777777" w:rsidR="009A0B27" w:rsidRPr="00764A85" w:rsidRDefault="009A0B27" w:rsidP="007205EA">
            <w:pPr>
              <w:pStyle w:val="BodyText"/>
              <w:spacing w:before="120" w:after="240"/>
              <w:rPr>
                <w:sz w:val="22"/>
              </w:rPr>
            </w:pPr>
            <w:r w:rsidRPr="00764A85">
              <w:rPr>
                <w:sz w:val="22"/>
              </w:rPr>
              <w:lastRenderedPageBreak/>
              <w:t>Signature</w:t>
            </w:r>
          </w:p>
        </w:tc>
        <w:tc>
          <w:tcPr>
            <w:tcW w:w="3259" w:type="dxa"/>
          </w:tcPr>
          <w:p w14:paraId="0BD7E88D" w14:textId="77777777" w:rsidR="009A0B27" w:rsidRPr="00764A85" w:rsidRDefault="009A0B27" w:rsidP="007205EA">
            <w:pPr>
              <w:pStyle w:val="BodyText"/>
              <w:spacing w:before="120" w:after="240"/>
              <w:rPr>
                <w:sz w:val="22"/>
              </w:rPr>
            </w:pPr>
          </w:p>
        </w:tc>
        <w:tc>
          <w:tcPr>
            <w:tcW w:w="2321" w:type="dxa"/>
          </w:tcPr>
          <w:p w14:paraId="75011BB9"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46917261" w14:textId="77777777" w:rsidR="009A0B27" w:rsidRPr="00764A85" w:rsidRDefault="009A0B27" w:rsidP="007205EA">
            <w:pPr>
              <w:pStyle w:val="BodyText"/>
              <w:spacing w:before="120" w:after="240"/>
              <w:rPr>
                <w:sz w:val="22"/>
              </w:rPr>
            </w:pPr>
          </w:p>
        </w:tc>
      </w:tr>
      <w:tr w:rsidR="009A0B27" w:rsidRPr="00764A85" w14:paraId="47FD3FFF" w14:textId="77777777" w:rsidTr="00AC591B">
        <w:trPr>
          <w:jc w:val="center"/>
        </w:trPr>
        <w:tc>
          <w:tcPr>
            <w:tcW w:w="1384" w:type="dxa"/>
          </w:tcPr>
          <w:p w14:paraId="5E4A7054" w14:textId="77777777" w:rsidR="009A0B27" w:rsidRPr="00764A85" w:rsidRDefault="009A0B27" w:rsidP="007205EA">
            <w:pPr>
              <w:pStyle w:val="BodyText"/>
              <w:spacing w:before="120" w:after="240"/>
              <w:rPr>
                <w:sz w:val="22"/>
              </w:rPr>
            </w:pPr>
            <w:r w:rsidRPr="00764A85">
              <w:rPr>
                <w:sz w:val="22"/>
              </w:rPr>
              <w:t>Date</w:t>
            </w:r>
          </w:p>
        </w:tc>
        <w:tc>
          <w:tcPr>
            <w:tcW w:w="3259" w:type="dxa"/>
          </w:tcPr>
          <w:p w14:paraId="68C43BED" w14:textId="77777777" w:rsidR="009A0B27" w:rsidRPr="00764A85" w:rsidRDefault="009A0B27" w:rsidP="007205EA">
            <w:pPr>
              <w:pStyle w:val="BodyText"/>
              <w:spacing w:before="120" w:after="240"/>
              <w:rPr>
                <w:sz w:val="22"/>
              </w:rPr>
            </w:pPr>
          </w:p>
        </w:tc>
        <w:tc>
          <w:tcPr>
            <w:tcW w:w="2321" w:type="dxa"/>
          </w:tcPr>
          <w:p w14:paraId="4B3BE523" w14:textId="77777777" w:rsidR="009A0B27" w:rsidRPr="00764A85" w:rsidRDefault="009A0B27" w:rsidP="007205EA">
            <w:pPr>
              <w:pStyle w:val="BodyText"/>
              <w:spacing w:before="120" w:after="240"/>
              <w:rPr>
                <w:sz w:val="22"/>
              </w:rPr>
            </w:pPr>
            <w:r w:rsidRPr="00764A85">
              <w:rPr>
                <w:sz w:val="22"/>
              </w:rPr>
              <w:t>Date</w:t>
            </w:r>
          </w:p>
        </w:tc>
        <w:tc>
          <w:tcPr>
            <w:tcW w:w="2322" w:type="dxa"/>
          </w:tcPr>
          <w:p w14:paraId="53D25B16" w14:textId="77777777" w:rsidR="009A0B27" w:rsidRPr="00764A85" w:rsidRDefault="009A0B27" w:rsidP="007205EA">
            <w:pPr>
              <w:pStyle w:val="BodyText"/>
              <w:spacing w:before="120" w:after="240"/>
              <w:rPr>
                <w:sz w:val="22"/>
              </w:rPr>
            </w:pPr>
          </w:p>
        </w:tc>
      </w:tr>
    </w:tbl>
    <w:p w14:paraId="598CEDC8" w14:textId="77777777" w:rsidR="009A0B27" w:rsidRPr="00F13D45" w:rsidRDefault="009A0B27" w:rsidP="00532286">
      <w:pPr>
        <w:spacing w:before="120"/>
        <w:rPr>
          <w:highlight w:val="lightGray"/>
        </w:rPr>
      </w:pPr>
    </w:p>
    <w:sectPr w:rsidR="009A0B27" w:rsidRPr="00F13D45" w:rsidSect="004A6955">
      <w:headerReference w:type="default" r:id="rId9"/>
      <w:footerReference w:type="even" r:id="rId10"/>
      <w:footerReference w:type="default" r:id="rId11"/>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022C2" w14:textId="77777777" w:rsidR="001653A1" w:rsidRPr="00B479BA" w:rsidRDefault="001653A1">
      <w:r w:rsidRPr="00B479BA">
        <w:separator/>
      </w:r>
    </w:p>
  </w:endnote>
  <w:endnote w:type="continuationSeparator" w:id="0">
    <w:p w14:paraId="314B5BCD" w14:textId="77777777" w:rsidR="001653A1" w:rsidRPr="00B479BA" w:rsidRDefault="001653A1">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8EF10" w14:textId="77777777" w:rsidR="00CA46FB" w:rsidRDefault="00CA46FB" w:rsidP="00B52CC1">
    <w:pPr>
      <w:pStyle w:val="Footer"/>
      <w:tabs>
        <w:tab w:val="clear" w:pos="4320"/>
        <w:tab w:val="clear" w:pos="8640"/>
        <w:tab w:val="center" w:pos="4819"/>
        <w:tab w:val="right" w:pos="9639"/>
      </w:tabs>
    </w:pPr>
    <w:r>
      <w:t>[Type text]</w:t>
    </w:r>
    <w:r>
      <w:tab/>
      <w:t>[Type text]</w:t>
    </w:r>
    <w:r>
      <w:tab/>
      <w:t>[Type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72FB8" w14:textId="77777777" w:rsidR="00CA46FB" w:rsidRPr="00B479BA" w:rsidRDefault="00CA46FB" w:rsidP="00B52CC1">
    <w:pPr>
      <w:pStyle w:val="Footer"/>
      <w:tabs>
        <w:tab w:val="clear" w:pos="4320"/>
        <w:tab w:val="clear" w:pos="8640"/>
        <w:tab w:val="center" w:pos="4819"/>
        <w:tab w:val="right" w:pos="9639"/>
      </w:tabs>
      <w:rPr>
        <w:sz w:val="18"/>
        <w:szCs w:val="18"/>
      </w:rPr>
    </w:pPr>
    <w:r w:rsidRPr="00B479BA">
      <w:rPr>
        <w:sz w:val="18"/>
        <w:szCs w:val="18"/>
      </w:rPr>
      <w:tab/>
      <w:t xml:space="preserve">Page </w:t>
    </w:r>
    <w:r w:rsidRPr="00B479BA">
      <w:rPr>
        <w:sz w:val="18"/>
        <w:szCs w:val="18"/>
      </w:rPr>
      <w:fldChar w:fldCharType="begin"/>
    </w:r>
    <w:r w:rsidRPr="00B479BA">
      <w:rPr>
        <w:sz w:val="18"/>
        <w:szCs w:val="18"/>
      </w:rPr>
      <w:instrText xml:space="preserve"> PAGE </w:instrText>
    </w:r>
    <w:r w:rsidRPr="00B479BA">
      <w:rPr>
        <w:sz w:val="18"/>
        <w:szCs w:val="18"/>
      </w:rPr>
      <w:fldChar w:fldCharType="separate"/>
    </w:r>
    <w:r w:rsidR="00C76288">
      <w:rPr>
        <w:noProof/>
        <w:sz w:val="18"/>
        <w:szCs w:val="18"/>
      </w:rPr>
      <w:t>8</w:t>
    </w:r>
    <w:r w:rsidRPr="00B479BA">
      <w:rPr>
        <w:sz w:val="18"/>
        <w:szCs w:val="18"/>
      </w:rPr>
      <w:fldChar w:fldCharType="end"/>
    </w:r>
    <w:r w:rsidRPr="00B479BA">
      <w:rPr>
        <w:sz w:val="18"/>
        <w:szCs w:val="18"/>
      </w:rPr>
      <w:t xml:space="preserve"> of </w:t>
    </w:r>
    <w:r w:rsidRPr="00B479BA">
      <w:rPr>
        <w:sz w:val="18"/>
        <w:szCs w:val="18"/>
      </w:rPr>
      <w:fldChar w:fldCharType="begin"/>
    </w:r>
    <w:r w:rsidRPr="00B479BA">
      <w:rPr>
        <w:sz w:val="18"/>
        <w:szCs w:val="18"/>
      </w:rPr>
      <w:instrText xml:space="preserve"> NUMPAGES </w:instrText>
    </w:r>
    <w:r w:rsidRPr="00B479BA">
      <w:rPr>
        <w:sz w:val="18"/>
        <w:szCs w:val="18"/>
      </w:rPr>
      <w:fldChar w:fldCharType="separate"/>
    </w:r>
    <w:r w:rsidR="00C76288">
      <w:rPr>
        <w:noProof/>
        <w:sz w:val="18"/>
        <w:szCs w:val="18"/>
      </w:rPr>
      <w:t>8</w:t>
    </w:r>
    <w:r w:rsidRPr="00B479BA">
      <w:rPr>
        <w:sz w:val="18"/>
        <w:szCs w:val="18"/>
      </w:rPr>
      <w:fldChar w:fldCharType="end"/>
    </w:r>
  </w:p>
  <w:p w14:paraId="215E8202" w14:textId="77777777" w:rsidR="00CA46FB" w:rsidRPr="00B479BA" w:rsidRDefault="00CA46FB" w:rsidP="008A6199">
    <w:pPr>
      <w:pStyle w:val="Footer"/>
      <w:tabs>
        <w:tab w:val="clear" w:pos="8640"/>
        <w:tab w:val="right" w:pos="9356"/>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64BEB" w14:textId="77777777" w:rsidR="001653A1" w:rsidRPr="00B479BA" w:rsidRDefault="001653A1">
      <w:r w:rsidRPr="00B479BA">
        <w:separator/>
      </w:r>
    </w:p>
  </w:footnote>
  <w:footnote w:type="continuationSeparator" w:id="0">
    <w:p w14:paraId="599A4B31" w14:textId="77777777" w:rsidR="001653A1" w:rsidRPr="00B479BA" w:rsidRDefault="001653A1">
      <w:r w:rsidRPr="00B479BA">
        <w:continuationSeparator/>
      </w:r>
    </w:p>
  </w:footnote>
  <w:footnote w:id="1">
    <w:p w14:paraId="2841284E" w14:textId="77777777" w:rsidR="00CA46FB" w:rsidRPr="00B479BA" w:rsidRDefault="00CA46FB" w:rsidP="00C76959">
      <w:pPr>
        <w:pStyle w:val="FootnoteText"/>
        <w:tabs>
          <w:tab w:val="left" w:pos="142"/>
        </w:tabs>
        <w:ind w:left="142" w:hanging="142"/>
      </w:pPr>
      <w:r w:rsidRPr="00B479BA">
        <w:rPr>
          <w:rStyle w:val="FootnoteReference"/>
        </w:rPr>
        <w:footnoteRef/>
      </w:r>
      <w:r w:rsidRPr="00B479BA">
        <w:tab/>
      </w:r>
      <w:r w:rsidRPr="00045579">
        <w:rPr>
          <w:i/>
        </w:rPr>
        <w:t xml:space="preserve">In case of action grants, note that the amount </w:t>
      </w:r>
      <w:proofErr w:type="gramStart"/>
      <w:r w:rsidRPr="00045579">
        <w:rPr>
          <w:i/>
        </w:rPr>
        <w:t>awarded</w:t>
      </w:r>
      <w:proofErr w:type="gramEnd"/>
      <w:r w:rsidRPr="00045579">
        <w:rPr>
          <w:i/>
        </w:rPr>
        <w:t xml:space="preserve"> and percentages stated in this Article shall also be updated in Annex III Budget of the Action, in the worksheet ‘Expected sources of funding and summary of estimated costs’.</w:t>
      </w:r>
    </w:p>
  </w:footnote>
  <w:footnote w:id="2">
    <w:p w14:paraId="66B40A01" w14:textId="77777777" w:rsidR="00CA46FB" w:rsidRDefault="00CA46FB" w:rsidP="00D40496">
      <w:pPr>
        <w:pStyle w:val="FootnoteText"/>
        <w:ind w:left="142" w:hanging="142"/>
      </w:pPr>
      <w:r>
        <w:rPr>
          <w:rStyle w:val="FootnoteReference"/>
        </w:rPr>
        <w:footnoteRef/>
      </w:r>
      <w:r>
        <w:tab/>
        <w:t xml:space="preserve"> I</w:t>
      </w:r>
      <w:r w:rsidRPr="00886713">
        <w:t xml:space="preserve">n case the Contracting Authority has its own audit and verification </w:t>
      </w:r>
      <w:r>
        <w:t>system</w:t>
      </w:r>
    </w:p>
  </w:footnote>
  <w:footnote w:id="3">
    <w:p w14:paraId="23F0C81E" w14:textId="77777777" w:rsidR="00CA46FB" w:rsidRDefault="00CA46FB" w:rsidP="0094748D">
      <w:pPr>
        <w:pStyle w:val="FootnoteText"/>
        <w:ind w:left="142" w:hanging="142"/>
      </w:pPr>
      <w:r>
        <w:rPr>
          <w:rStyle w:val="FootnoteReference"/>
        </w:rPr>
        <w:footnoteRef/>
      </w:r>
      <w:r>
        <w:t> </w:t>
      </w:r>
      <w:r w:rsidRPr="008F6A10">
        <w:t xml:space="preserve">In accordance with the mandate conferred </w:t>
      </w:r>
      <w:proofErr w:type="gramStart"/>
      <w:r w:rsidRPr="008F6A10">
        <w:t>on</w:t>
      </w:r>
      <w:r>
        <w:t xml:space="preserve">  the</w:t>
      </w:r>
      <w:proofErr w:type="gramEnd"/>
      <w:r>
        <w:t xml:space="preserve"> lead applicant</w:t>
      </w:r>
      <w:r w:rsidRPr="008F6A10">
        <w:t>, (see ap</w:t>
      </w:r>
      <w:r>
        <w:t>plication form), the lead applicant</w:t>
      </w:r>
      <w:r w:rsidRPr="008F6A10">
        <w:t xml:space="preserve"> signs this Contract also on behalf of the other Beneficiaries, who, therefore, do not need to individually sign this </w:t>
      </w:r>
      <w:r>
        <w:t>C</w:t>
      </w:r>
      <w:r w:rsidRPr="008F6A10">
        <w:t>ontract to become parties to it.</w:t>
      </w:r>
      <w:r>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DEC53" w14:textId="77777777" w:rsidR="00CA46FB" w:rsidRPr="00B479BA" w:rsidRDefault="00CA46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4225A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2" w15:restartNumberingAfterBreak="0">
    <w:nsid w:val="021D48B9"/>
    <w:multiLevelType w:val="hybridMultilevel"/>
    <w:tmpl w:val="2C9222AA"/>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2354060"/>
    <w:multiLevelType w:val="hybridMultilevel"/>
    <w:tmpl w:val="7A36FDF0"/>
    <w:lvl w:ilvl="0" w:tplc="BE124B2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3"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5"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32085727">
    <w:abstractNumId w:val="1"/>
  </w:num>
  <w:num w:numId="2" w16cid:durableId="735929810">
    <w:abstractNumId w:val="11"/>
  </w:num>
  <w:num w:numId="3" w16cid:durableId="2076197869">
    <w:abstractNumId w:val="3"/>
  </w:num>
  <w:num w:numId="4" w16cid:durableId="815561750">
    <w:abstractNumId w:val="9"/>
  </w:num>
  <w:num w:numId="5" w16cid:durableId="831993872">
    <w:abstractNumId w:val="16"/>
  </w:num>
  <w:num w:numId="6" w16cid:durableId="1879856370">
    <w:abstractNumId w:val="8"/>
  </w:num>
  <w:num w:numId="7" w16cid:durableId="115950264">
    <w:abstractNumId w:val="17"/>
  </w:num>
  <w:num w:numId="8" w16cid:durableId="1202133018">
    <w:abstractNumId w:val="6"/>
  </w:num>
  <w:num w:numId="9" w16cid:durableId="1314027592">
    <w:abstractNumId w:val="10"/>
  </w:num>
  <w:num w:numId="10" w16cid:durableId="1055277791">
    <w:abstractNumId w:val="7"/>
  </w:num>
  <w:num w:numId="11" w16cid:durableId="900871679">
    <w:abstractNumId w:val="13"/>
  </w:num>
  <w:num w:numId="12" w16cid:durableId="657732982">
    <w:abstractNumId w:val="15"/>
  </w:num>
  <w:num w:numId="13" w16cid:durableId="612636875">
    <w:abstractNumId w:val="10"/>
  </w:num>
  <w:num w:numId="14" w16cid:durableId="1710108612">
    <w:abstractNumId w:val="4"/>
  </w:num>
  <w:num w:numId="15" w16cid:durableId="956524738">
    <w:abstractNumId w:val="4"/>
  </w:num>
  <w:num w:numId="16" w16cid:durableId="593830738">
    <w:abstractNumId w:val="14"/>
  </w:num>
  <w:num w:numId="17" w16cid:durableId="792210974">
    <w:abstractNumId w:val="12"/>
  </w:num>
  <w:num w:numId="18" w16cid:durableId="2034845716">
    <w:abstractNumId w:val="0"/>
  </w:num>
  <w:num w:numId="19" w16cid:durableId="1780679212">
    <w:abstractNumId w:val="5"/>
  </w:num>
  <w:num w:numId="20" w16cid:durableId="22152504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40A9"/>
    <w:rsid w:val="0000611C"/>
    <w:rsid w:val="000104A0"/>
    <w:rsid w:val="00010C96"/>
    <w:rsid w:val="00012969"/>
    <w:rsid w:val="000129F3"/>
    <w:rsid w:val="00015139"/>
    <w:rsid w:val="00016342"/>
    <w:rsid w:val="00016C74"/>
    <w:rsid w:val="00033754"/>
    <w:rsid w:val="00034994"/>
    <w:rsid w:val="000352A4"/>
    <w:rsid w:val="0004127E"/>
    <w:rsid w:val="00041A83"/>
    <w:rsid w:val="00045579"/>
    <w:rsid w:val="000470E0"/>
    <w:rsid w:val="00047BD7"/>
    <w:rsid w:val="00051454"/>
    <w:rsid w:val="00053BA0"/>
    <w:rsid w:val="00055AB2"/>
    <w:rsid w:val="00057FAB"/>
    <w:rsid w:val="00064103"/>
    <w:rsid w:val="00065FA9"/>
    <w:rsid w:val="00076102"/>
    <w:rsid w:val="000779E8"/>
    <w:rsid w:val="00082800"/>
    <w:rsid w:val="0009787A"/>
    <w:rsid w:val="000A4ABF"/>
    <w:rsid w:val="000A60EC"/>
    <w:rsid w:val="000A75D8"/>
    <w:rsid w:val="000B1CBD"/>
    <w:rsid w:val="000B33DA"/>
    <w:rsid w:val="000B5191"/>
    <w:rsid w:val="000B5AA8"/>
    <w:rsid w:val="000B5CD1"/>
    <w:rsid w:val="000B771A"/>
    <w:rsid w:val="000B7D81"/>
    <w:rsid w:val="000C064D"/>
    <w:rsid w:val="000C53FC"/>
    <w:rsid w:val="000C5B9B"/>
    <w:rsid w:val="000D0459"/>
    <w:rsid w:val="000D36AB"/>
    <w:rsid w:val="000D37B8"/>
    <w:rsid w:val="000D59F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08AC"/>
    <w:rsid w:val="00141876"/>
    <w:rsid w:val="00141F49"/>
    <w:rsid w:val="001424BB"/>
    <w:rsid w:val="00144538"/>
    <w:rsid w:val="00145FC0"/>
    <w:rsid w:val="001515AF"/>
    <w:rsid w:val="00152582"/>
    <w:rsid w:val="001529AA"/>
    <w:rsid w:val="00156403"/>
    <w:rsid w:val="001603EA"/>
    <w:rsid w:val="00160C2A"/>
    <w:rsid w:val="001612C7"/>
    <w:rsid w:val="00161ABE"/>
    <w:rsid w:val="001653A1"/>
    <w:rsid w:val="0016570F"/>
    <w:rsid w:val="0016721A"/>
    <w:rsid w:val="00171512"/>
    <w:rsid w:val="00171DEF"/>
    <w:rsid w:val="00173658"/>
    <w:rsid w:val="0017673C"/>
    <w:rsid w:val="0017725F"/>
    <w:rsid w:val="0018016A"/>
    <w:rsid w:val="001815CB"/>
    <w:rsid w:val="001841D9"/>
    <w:rsid w:val="0018427B"/>
    <w:rsid w:val="00186648"/>
    <w:rsid w:val="00186D43"/>
    <w:rsid w:val="001878B1"/>
    <w:rsid w:val="00187D68"/>
    <w:rsid w:val="00190641"/>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66ED"/>
    <w:rsid w:val="001E7941"/>
    <w:rsid w:val="001F0EDE"/>
    <w:rsid w:val="001F12FD"/>
    <w:rsid w:val="001F1B86"/>
    <w:rsid w:val="001F2C36"/>
    <w:rsid w:val="001F7082"/>
    <w:rsid w:val="0020007C"/>
    <w:rsid w:val="00201852"/>
    <w:rsid w:val="0020520B"/>
    <w:rsid w:val="00205915"/>
    <w:rsid w:val="00205EDC"/>
    <w:rsid w:val="0021035A"/>
    <w:rsid w:val="00211E0F"/>
    <w:rsid w:val="00214B69"/>
    <w:rsid w:val="0021623B"/>
    <w:rsid w:val="00216B72"/>
    <w:rsid w:val="0022374C"/>
    <w:rsid w:val="00224705"/>
    <w:rsid w:val="00224A40"/>
    <w:rsid w:val="00227F89"/>
    <w:rsid w:val="00230362"/>
    <w:rsid w:val="00232698"/>
    <w:rsid w:val="002326A2"/>
    <w:rsid w:val="002343F3"/>
    <w:rsid w:val="002350E4"/>
    <w:rsid w:val="0023599F"/>
    <w:rsid w:val="00236C49"/>
    <w:rsid w:val="00237120"/>
    <w:rsid w:val="00237956"/>
    <w:rsid w:val="00237B31"/>
    <w:rsid w:val="00240510"/>
    <w:rsid w:val="00242A9A"/>
    <w:rsid w:val="0024388D"/>
    <w:rsid w:val="00243C20"/>
    <w:rsid w:val="0024505E"/>
    <w:rsid w:val="002451E0"/>
    <w:rsid w:val="0024641A"/>
    <w:rsid w:val="00251021"/>
    <w:rsid w:val="002521FE"/>
    <w:rsid w:val="00252383"/>
    <w:rsid w:val="00255B54"/>
    <w:rsid w:val="00255DC9"/>
    <w:rsid w:val="002634E7"/>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52C4"/>
    <w:rsid w:val="002A54A4"/>
    <w:rsid w:val="002A5F6B"/>
    <w:rsid w:val="002A6A0D"/>
    <w:rsid w:val="002B0341"/>
    <w:rsid w:val="002B27F9"/>
    <w:rsid w:val="002C0D7E"/>
    <w:rsid w:val="002C1A43"/>
    <w:rsid w:val="002C37D5"/>
    <w:rsid w:val="002C4DB7"/>
    <w:rsid w:val="002C788E"/>
    <w:rsid w:val="002D7A5B"/>
    <w:rsid w:val="002E076A"/>
    <w:rsid w:val="002E3A3A"/>
    <w:rsid w:val="002E60D5"/>
    <w:rsid w:val="002E641D"/>
    <w:rsid w:val="002F1AAF"/>
    <w:rsid w:val="002F1EBD"/>
    <w:rsid w:val="002F3913"/>
    <w:rsid w:val="002F42B8"/>
    <w:rsid w:val="002F458B"/>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55E"/>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7D3"/>
    <w:rsid w:val="003A68B8"/>
    <w:rsid w:val="003A6CA5"/>
    <w:rsid w:val="003B3EAF"/>
    <w:rsid w:val="003B5B31"/>
    <w:rsid w:val="003B7E8E"/>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5BC1"/>
    <w:rsid w:val="0041752E"/>
    <w:rsid w:val="004213C7"/>
    <w:rsid w:val="00424C6F"/>
    <w:rsid w:val="00425706"/>
    <w:rsid w:val="00425C7E"/>
    <w:rsid w:val="00425E7D"/>
    <w:rsid w:val="00426A76"/>
    <w:rsid w:val="004329E7"/>
    <w:rsid w:val="0043785D"/>
    <w:rsid w:val="00441D72"/>
    <w:rsid w:val="00442C66"/>
    <w:rsid w:val="00445A06"/>
    <w:rsid w:val="0045198E"/>
    <w:rsid w:val="0045327B"/>
    <w:rsid w:val="00457585"/>
    <w:rsid w:val="00460441"/>
    <w:rsid w:val="00462C88"/>
    <w:rsid w:val="00465AE1"/>
    <w:rsid w:val="00466FEC"/>
    <w:rsid w:val="00467951"/>
    <w:rsid w:val="00480C0D"/>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015"/>
    <w:rsid w:val="004D7228"/>
    <w:rsid w:val="004D74E0"/>
    <w:rsid w:val="004E0512"/>
    <w:rsid w:val="004E1C19"/>
    <w:rsid w:val="004E371B"/>
    <w:rsid w:val="004E680C"/>
    <w:rsid w:val="004F144F"/>
    <w:rsid w:val="004F16EB"/>
    <w:rsid w:val="00506CFC"/>
    <w:rsid w:val="00510B95"/>
    <w:rsid w:val="0051546D"/>
    <w:rsid w:val="00515E07"/>
    <w:rsid w:val="0051732E"/>
    <w:rsid w:val="0052280D"/>
    <w:rsid w:val="00522CE3"/>
    <w:rsid w:val="005235B3"/>
    <w:rsid w:val="00523BDD"/>
    <w:rsid w:val="00524E50"/>
    <w:rsid w:val="00530FAD"/>
    <w:rsid w:val="00531613"/>
    <w:rsid w:val="00532286"/>
    <w:rsid w:val="00533EE5"/>
    <w:rsid w:val="005346B2"/>
    <w:rsid w:val="00534B3A"/>
    <w:rsid w:val="00534EF4"/>
    <w:rsid w:val="005434EA"/>
    <w:rsid w:val="0054369A"/>
    <w:rsid w:val="00544550"/>
    <w:rsid w:val="00545EBB"/>
    <w:rsid w:val="00547681"/>
    <w:rsid w:val="0055234D"/>
    <w:rsid w:val="0055501D"/>
    <w:rsid w:val="0055799E"/>
    <w:rsid w:val="00562E53"/>
    <w:rsid w:val="00564181"/>
    <w:rsid w:val="0056522D"/>
    <w:rsid w:val="005652C0"/>
    <w:rsid w:val="005654D1"/>
    <w:rsid w:val="00565B43"/>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5A28"/>
    <w:rsid w:val="005E1DF0"/>
    <w:rsid w:val="005E2F77"/>
    <w:rsid w:val="005E49AB"/>
    <w:rsid w:val="005E4EA0"/>
    <w:rsid w:val="005E7828"/>
    <w:rsid w:val="005F2047"/>
    <w:rsid w:val="005F72C2"/>
    <w:rsid w:val="005F73F9"/>
    <w:rsid w:val="00602CBD"/>
    <w:rsid w:val="006059DB"/>
    <w:rsid w:val="00610E94"/>
    <w:rsid w:val="006128F3"/>
    <w:rsid w:val="00614BA6"/>
    <w:rsid w:val="006152C2"/>
    <w:rsid w:val="00615407"/>
    <w:rsid w:val="00615557"/>
    <w:rsid w:val="00615D3D"/>
    <w:rsid w:val="0061757E"/>
    <w:rsid w:val="00620DB2"/>
    <w:rsid w:val="0062436F"/>
    <w:rsid w:val="0062470E"/>
    <w:rsid w:val="0062471B"/>
    <w:rsid w:val="00625E45"/>
    <w:rsid w:val="006275CC"/>
    <w:rsid w:val="0063259A"/>
    <w:rsid w:val="00632D73"/>
    <w:rsid w:val="006339A2"/>
    <w:rsid w:val="0063681F"/>
    <w:rsid w:val="00637C18"/>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D0"/>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E127F"/>
    <w:rsid w:val="006E4BF5"/>
    <w:rsid w:val="006E602D"/>
    <w:rsid w:val="006E6CAA"/>
    <w:rsid w:val="006F044C"/>
    <w:rsid w:val="006F1EFA"/>
    <w:rsid w:val="006F2AD6"/>
    <w:rsid w:val="006F42C6"/>
    <w:rsid w:val="006F6459"/>
    <w:rsid w:val="006F79BD"/>
    <w:rsid w:val="006F7ADD"/>
    <w:rsid w:val="007027E8"/>
    <w:rsid w:val="00705119"/>
    <w:rsid w:val="00707F09"/>
    <w:rsid w:val="007114F5"/>
    <w:rsid w:val="00715955"/>
    <w:rsid w:val="007177AB"/>
    <w:rsid w:val="00717B01"/>
    <w:rsid w:val="0072031C"/>
    <w:rsid w:val="007205EA"/>
    <w:rsid w:val="00721234"/>
    <w:rsid w:val="00721763"/>
    <w:rsid w:val="00721E97"/>
    <w:rsid w:val="0073029F"/>
    <w:rsid w:val="00733123"/>
    <w:rsid w:val="00741654"/>
    <w:rsid w:val="00741C17"/>
    <w:rsid w:val="00742E50"/>
    <w:rsid w:val="007447BC"/>
    <w:rsid w:val="00746AE9"/>
    <w:rsid w:val="00750CE5"/>
    <w:rsid w:val="0075114E"/>
    <w:rsid w:val="00751F52"/>
    <w:rsid w:val="007528E5"/>
    <w:rsid w:val="00753807"/>
    <w:rsid w:val="007539BC"/>
    <w:rsid w:val="00756415"/>
    <w:rsid w:val="007572AC"/>
    <w:rsid w:val="00757FB8"/>
    <w:rsid w:val="00763310"/>
    <w:rsid w:val="00763E18"/>
    <w:rsid w:val="00764A85"/>
    <w:rsid w:val="0076638D"/>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249A"/>
    <w:rsid w:val="007C31B2"/>
    <w:rsid w:val="007C32B9"/>
    <w:rsid w:val="007C4B37"/>
    <w:rsid w:val="007C5C49"/>
    <w:rsid w:val="007D0690"/>
    <w:rsid w:val="007D141A"/>
    <w:rsid w:val="007D260E"/>
    <w:rsid w:val="007D3136"/>
    <w:rsid w:val="007D4F4D"/>
    <w:rsid w:val="007E0D71"/>
    <w:rsid w:val="007E2E0B"/>
    <w:rsid w:val="007E77B2"/>
    <w:rsid w:val="007F2301"/>
    <w:rsid w:val="007F2AFB"/>
    <w:rsid w:val="007F360E"/>
    <w:rsid w:val="007F3E7A"/>
    <w:rsid w:val="00800685"/>
    <w:rsid w:val="00802D26"/>
    <w:rsid w:val="00806B9E"/>
    <w:rsid w:val="008141EA"/>
    <w:rsid w:val="00815386"/>
    <w:rsid w:val="00826379"/>
    <w:rsid w:val="00826814"/>
    <w:rsid w:val="008268BC"/>
    <w:rsid w:val="00826A9D"/>
    <w:rsid w:val="008300F9"/>
    <w:rsid w:val="008309E7"/>
    <w:rsid w:val="00833E8F"/>
    <w:rsid w:val="00841F9A"/>
    <w:rsid w:val="00846B5A"/>
    <w:rsid w:val="00847AB0"/>
    <w:rsid w:val="008511F5"/>
    <w:rsid w:val="00863775"/>
    <w:rsid w:val="00865CC9"/>
    <w:rsid w:val="00866996"/>
    <w:rsid w:val="008700F4"/>
    <w:rsid w:val="00873F3B"/>
    <w:rsid w:val="008773AD"/>
    <w:rsid w:val="00881052"/>
    <w:rsid w:val="00882CC1"/>
    <w:rsid w:val="00883AF7"/>
    <w:rsid w:val="00886713"/>
    <w:rsid w:val="00891246"/>
    <w:rsid w:val="00891467"/>
    <w:rsid w:val="008916E1"/>
    <w:rsid w:val="008926BB"/>
    <w:rsid w:val="00892ABD"/>
    <w:rsid w:val="008932D2"/>
    <w:rsid w:val="00894885"/>
    <w:rsid w:val="008A1A88"/>
    <w:rsid w:val="008A5D01"/>
    <w:rsid w:val="008A5D68"/>
    <w:rsid w:val="008A6199"/>
    <w:rsid w:val="008B27C9"/>
    <w:rsid w:val="008C3516"/>
    <w:rsid w:val="008C4872"/>
    <w:rsid w:val="008C49DC"/>
    <w:rsid w:val="008C60B4"/>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6A10"/>
    <w:rsid w:val="008F6AD7"/>
    <w:rsid w:val="008F76A5"/>
    <w:rsid w:val="009002AF"/>
    <w:rsid w:val="00900595"/>
    <w:rsid w:val="00902BD3"/>
    <w:rsid w:val="0090311C"/>
    <w:rsid w:val="00903BAD"/>
    <w:rsid w:val="00906EF4"/>
    <w:rsid w:val="00912782"/>
    <w:rsid w:val="0091494C"/>
    <w:rsid w:val="00921AC6"/>
    <w:rsid w:val="00921D92"/>
    <w:rsid w:val="00922958"/>
    <w:rsid w:val="00922F3C"/>
    <w:rsid w:val="00922F9D"/>
    <w:rsid w:val="0093326B"/>
    <w:rsid w:val="00940AF1"/>
    <w:rsid w:val="00941289"/>
    <w:rsid w:val="00942529"/>
    <w:rsid w:val="009450DA"/>
    <w:rsid w:val="0094748D"/>
    <w:rsid w:val="0095101B"/>
    <w:rsid w:val="009516EB"/>
    <w:rsid w:val="00952C27"/>
    <w:rsid w:val="009563C4"/>
    <w:rsid w:val="009603CD"/>
    <w:rsid w:val="0096533B"/>
    <w:rsid w:val="00970CCB"/>
    <w:rsid w:val="00972FB0"/>
    <w:rsid w:val="00974804"/>
    <w:rsid w:val="00980C49"/>
    <w:rsid w:val="009811B2"/>
    <w:rsid w:val="00981A46"/>
    <w:rsid w:val="009868EB"/>
    <w:rsid w:val="0098723B"/>
    <w:rsid w:val="00987591"/>
    <w:rsid w:val="00991808"/>
    <w:rsid w:val="00994862"/>
    <w:rsid w:val="00994E5C"/>
    <w:rsid w:val="00995B17"/>
    <w:rsid w:val="0099742A"/>
    <w:rsid w:val="009977FA"/>
    <w:rsid w:val="009A0B27"/>
    <w:rsid w:val="009A1A49"/>
    <w:rsid w:val="009A3674"/>
    <w:rsid w:val="009A516B"/>
    <w:rsid w:val="009A58DE"/>
    <w:rsid w:val="009B2B25"/>
    <w:rsid w:val="009B3309"/>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5A40"/>
    <w:rsid w:val="00A07AF4"/>
    <w:rsid w:val="00A07B9F"/>
    <w:rsid w:val="00A10C95"/>
    <w:rsid w:val="00A16F03"/>
    <w:rsid w:val="00A20C0D"/>
    <w:rsid w:val="00A21085"/>
    <w:rsid w:val="00A237C3"/>
    <w:rsid w:val="00A304BF"/>
    <w:rsid w:val="00A36F67"/>
    <w:rsid w:val="00A409AA"/>
    <w:rsid w:val="00A44FE3"/>
    <w:rsid w:val="00A456A6"/>
    <w:rsid w:val="00A526FF"/>
    <w:rsid w:val="00A54F15"/>
    <w:rsid w:val="00A555BD"/>
    <w:rsid w:val="00A55B1E"/>
    <w:rsid w:val="00A56DEF"/>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0F31"/>
    <w:rsid w:val="00AB1234"/>
    <w:rsid w:val="00AB3569"/>
    <w:rsid w:val="00AB4367"/>
    <w:rsid w:val="00AB55FF"/>
    <w:rsid w:val="00AB654C"/>
    <w:rsid w:val="00AB7BC6"/>
    <w:rsid w:val="00AB7E15"/>
    <w:rsid w:val="00AC1C04"/>
    <w:rsid w:val="00AC591B"/>
    <w:rsid w:val="00AD59DC"/>
    <w:rsid w:val="00AE702D"/>
    <w:rsid w:val="00AF03CC"/>
    <w:rsid w:val="00AF0E95"/>
    <w:rsid w:val="00AF1B39"/>
    <w:rsid w:val="00B0502F"/>
    <w:rsid w:val="00B0796F"/>
    <w:rsid w:val="00B07AA8"/>
    <w:rsid w:val="00B07C5E"/>
    <w:rsid w:val="00B122F2"/>
    <w:rsid w:val="00B13152"/>
    <w:rsid w:val="00B1545E"/>
    <w:rsid w:val="00B16F01"/>
    <w:rsid w:val="00B2089E"/>
    <w:rsid w:val="00B25C33"/>
    <w:rsid w:val="00B266DD"/>
    <w:rsid w:val="00B30CDB"/>
    <w:rsid w:val="00B312C6"/>
    <w:rsid w:val="00B3138A"/>
    <w:rsid w:val="00B4657A"/>
    <w:rsid w:val="00B479BA"/>
    <w:rsid w:val="00B5152D"/>
    <w:rsid w:val="00B52526"/>
    <w:rsid w:val="00B52AE3"/>
    <w:rsid w:val="00B52CC1"/>
    <w:rsid w:val="00B532DB"/>
    <w:rsid w:val="00B558D2"/>
    <w:rsid w:val="00B60158"/>
    <w:rsid w:val="00B60E07"/>
    <w:rsid w:val="00B63EAC"/>
    <w:rsid w:val="00B64EF2"/>
    <w:rsid w:val="00B665F9"/>
    <w:rsid w:val="00B67F8B"/>
    <w:rsid w:val="00B70C42"/>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AD"/>
    <w:rsid w:val="00BD0840"/>
    <w:rsid w:val="00BE2E33"/>
    <w:rsid w:val="00BE6314"/>
    <w:rsid w:val="00BE7035"/>
    <w:rsid w:val="00BF3D51"/>
    <w:rsid w:val="00BF5280"/>
    <w:rsid w:val="00BF61DF"/>
    <w:rsid w:val="00BF64DD"/>
    <w:rsid w:val="00BF695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4EF2"/>
    <w:rsid w:val="00C3648B"/>
    <w:rsid w:val="00C37ACA"/>
    <w:rsid w:val="00C45615"/>
    <w:rsid w:val="00C46BA8"/>
    <w:rsid w:val="00C47CAB"/>
    <w:rsid w:val="00C47EC2"/>
    <w:rsid w:val="00C50A4E"/>
    <w:rsid w:val="00C566E2"/>
    <w:rsid w:val="00C57A03"/>
    <w:rsid w:val="00C604D4"/>
    <w:rsid w:val="00C60A6D"/>
    <w:rsid w:val="00C61481"/>
    <w:rsid w:val="00C627C8"/>
    <w:rsid w:val="00C676C0"/>
    <w:rsid w:val="00C74243"/>
    <w:rsid w:val="00C76288"/>
    <w:rsid w:val="00C76959"/>
    <w:rsid w:val="00C81A9D"/>
    <w:rsid w:val="00C839EA"/>
    <w:rsid w:val="00C849DD"/>
    <w:rsid w:val="00C918B6"/>
    <w:rsid w:val="00C92C2C"/>
    <w:rsid w:val="00C9400B"/>
    <w:rsid w:val="00C95AE0"/>
    <w:rsid w:val="00CA46FB"/>
    <w:rsid w:val="00CA62B3"/>
    <w:rsid w:val="00CA69CB"/>
    <w:rsid w:val="00CB212B"/>
    <w:rsid w:val="00CB25C4"/>
    <w:rsid w:val="00CB28E6"/>
    <w:rsid w:val="00CB362C"/>
    <w:rsid w:val="00CB3AE7"/>
    <w:rsid w:val="00CB422C"/>
    <w:rsid w:val="00CB5889"/>
    <w:rsid w:val="00CC19D2"/>
    <w:rsid w:val="00CC3EAF"/>
    <w:rsid w:val="00CC6A4B"/>
    <w:rsid w:val="00CD0D3A"/>
    <w:rsid w:val="00CD2939"/>
    <w:rsid w:val="00CD7495"/>
    <w:rsid w:val="00CE64FA"/>
    <w:rsid w:val="00CE6A4E"/>
    <w:rsid w:val="00CE77A3"/>
    <w:rsid w:val="00CF0958"/>
    <w:rsid w:val="00D00573"/>
    <w:rsid w:val="00D14EE9"/>
    <w:rsid w:val="00D25164"/>
    <w:rsid w:val="00D25C52"/>
    <w:rsid w:val="00D27FD2"/>
    <w:rsid w:val="00D351B2"/>
    <w:rsid w:val="00D358BC"/>
    <w:rsid w:val="00D40496"/>
    <w:rsid w:val="00D422A8"/>
    <w:rsid w:val="00D46EF8"/>
    <w:rsid w:val="00D5013F"/>
    <w:rsid w:val="00D50F32"/>
    <w:rsid w:val="00D51735"/>
    <w:rsid w:val="00D52ACA"/>
    <w:rsid w:val="00D531C7"/>
    <w:rsid w:val="00D5323F"/>
    <w:rsid w:val="00D56500"/>
    <w:rsid w:val="00D65D98"/>
    <w:rsid w:val="00D7014F"/>
    <w:rsid w:val="00D7102C"/>
    <w:rsid w:val="00D71244"/>
    <w:rsid w:val="00D759C5"/>
    <w:rsid w:val="00D76F3A"/>
    <w:rsid w:val="00D7786D"/>
    <w:rsid w:val="00D84CC6"/>
    <w:rsid w:val="00D857C3"/>
    <w:rsid w:val="00D869EB"/>
    <w:rsid w:val="00D86AEE"/>
    <w:rsid w:val="00D91715"/>
    <w:rsid w:val="00D91F18"/>
    <w:rsid w:val="00D927A2"/>
    <w:rsid w:val="00D92B0C"/>
    <w:rsid w:val="00DA0440"/>
    <w:rsid w:val="00DA384A"/>
    <w:rsid w:val="00DA3E61"/>
    <w:rsid w:val="00DA7C9E"/>
    <w:rsid w:val="00DB06B2"/>
    <w:rsid w:val="00DB1B89"/>
    <w:rsid w:val="00DB7808"/>
    <w:rsid w:val="00DC1882"/>
    <w:rsid w:val="00DC19E1"/>
    <w:rsid w:val="00DC19F8"/>
    <w:rsid w:val="00DC27C7"/>
    <w:rsid w:val="00DC3162"/>
    <w:rsid w:val="00DC46AB"/>
    <w:rsid w:val="00DC5558"/>
    <w:rsid w:val="00DC63BA"/>
    <w:rsid w:val="00DD0960"/>
    <w:rsid w:val="00DD29C5"/>
    <w:rsid w:val="00DD676F"/>
    <w:rsid w:val="00DD730B"/>
    <w:rsid w:val="00DE4E57"/>
    <w:rsid w:val="00DE6361"/>
    <w:rsid w:val="00DE6655"/>
    <w:rsid w:val="00DF2103"/>
    <w:rsid w:val="00DF302C"/>
    <w:rsid w:val="00DF30D7"/>
    <w:rsid w:val="00DF3928"/>
    <w:rsid w:val="00DF5425"/>
    <w:rsid w:val="00DF6321"/>
    <w:rsid w:val="00DF759A"/>
    <w:rsid w:val="00E05F52"/>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5087"/>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A0FBE"/>
    <w:rsid w:val="00EA3A7F"/>
    <w:rsid w:val="00EB0B35"/>
    <w:rsid w:val="00EB364A"/>
    <w:rsid w:val="00EB4F07"/>
    <w:rsid w:val="00EB5146"/>
    <w:rsid w:val="00EB5C0E"/>
    <w:rsid w:val="00EC4191"/>
    <w:rsid w:val="00EC522C"/>
    <w:rsid w:val="00EC69EC"/>
    <w:rsid w:val="00ED1452"/>
    <w:rsid w:val="00ED2C0C"/>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3D45"/>
    <w:rsid w:val="00F145F1"/>
    <w:rsid w:val="00F14EAB"/>
    <w:rsid w:val="00F17942"/>
    <w:rsid w:val="00F21491"/>
    <w:rsid w:val="00F3036A"/>
    <w:rsid w:val="00F30DCF"/>
    <w:rsid w:val="00F31935"/>
    <w:rsid w:val="00F35625"/>
    <w:rsid w:val="00F4085F"/>
    <w:rsid w:val="00F414D0"/>
    <w:rsid w:val="00F4194E"/>
    <w:rsid w:val="00F440AE"/>
    <w:rsid w:val="00F4626D"/>
    <w:rsid w:val="00F531F9"/>
    <w:rsid w:val="00F55E80"/>
    <w:rsid w:val="00F57195"/>
    <w:rsid w:val="00F57590"/>
    <w:rsid w:val="00F625AB"/>
    <w:rsid w:val="00F66552"/>
    <w:rsid w:val="00F70B9F"/>
    <w:rsid w:val="00F70E7D"/>
    <w:rsid w:val="00F7384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C18"/>
    <w:rsid w:val="00FB6528"/>
    <w:rsid w:val="00FC23DC"/>
    <w:rsid w:val="00FC2CD0"/>
    <w:rsid w:val="00FC3A53"/>
    <w:rsid w:val="00FC51B4"/>
    <w:rsid w:val="00FC52A6"/>
    <w:rsid w:val="00FC533D"/>
    <w:rsid w:val="00FD7BD7"/>
    <w:rsid w:val="00FE1872"/>
    <w:rsid w:val="00FE1C88"/>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7557DD"/>
  <w15:chartTrackingRefBased/>
  <w15:docId w15:val="{1D377FD5-B550-45EA-968C-D525C093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1198"/>
    <w:rPr>
      <w:sz w:val="24"/>
      <w:lang w:val="en-GB"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customStyle="1" w:styleId="ColourfulShadingAccent11">
    <w:name w:val="Colourful Shading – Accent 11"/>
    <w:hidden/>
    <w:uiPriority w:val="99"/>
    <w:semiHidden/>
    <w:rsid w:val="00082800"/>
    <w:rPr>
      <w:sz w:val="24"/>
      <w:lang w:val="en-GB" w:eastAsia="en-US"/>
    </w:rPr>
  </w:style>
  <w:style w:type="character" w:customStyle="1" w:styleId="CommentTextChar">
    <w:name w:val="Comment Text Char"/>
    <w:link w:val="CommentText"/>
    <w:uiPriority w:val="99"/>
    <w:semiHidden/>
    <w:rsid w:val="004C735B"/>
    <w:rPr>
      <w:lang w:eastAsia="en-US"/>
    </w:rPr>
  </w:style>
  <w:style w:type="paragraph" w:customStyle="1" w:styleId="ColourfulListAccent11">
    <w:name w:val="Colourful List – Accent 11"/>
    <w:basedOn w:val="Normal"/>
    <w:uiPriority w:val="34"/>
    <w:qFormat/>
    <w:rsid w:val="00B1545E"/>
    <w:pPr>
      <w:ind w:left="720"/>
    </w:pPr>
    <w:rPr>
      <w:rFonts w:eastAsia="Calibri"/>
      <w:szCs w:val="24"/>
      <w:lang w:eastAsia="en-GB"/>
    </w:rPr>
  </w:style>
  <w:style w:type="paragraph" w:styleId="Revision">
    <w:name w:val="Revision"/>
    <w:hidden/>
    <w:uiPriority w:val="99"/>
    <w:semiHidden/>
    <w:rsid w:val="00715955"/>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455B2-0C0D-420D-9013-FA004B7D9ACD}">
  <ds:schemaRefs>
    <ds:schemaRef ds:uri="http://schemas.openxmlformats.org/officeDocument/2006/bibliography"/>
  </ds:schemaRefs>
</ds:datastoreItem>
</file>

<file path=docMetadata/LabelInfo.xml><?xml version="1.0" encoding="utf-8"?>
<clbl:labelList xmlns:clbl="http://schemas.microsoft.com/office/2020/mipLabelMetadata">
  <clbl:label id="{70d91555-27bb-46d2-9299-bbdc28766cf5}" enabled="1" method="Privileged" siteId="{49d00196-dd46-45ae-a2e6-912969fa3ac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8</Pages>
  <Words>2465</Words>
  <Characters>13054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Mercy Mikuwa</cp:lastModifiedBy>
  <cp:revision>4</cp:revision>
  <cp:lastPrinted>2017-04-20T13:20:00Z</cp:lastPrinted>
  <dcterms:created xsi:type="dcterms:W3CDTF">2025-04-16T09:21:00Z</dcterms:created>
  <dcterms:modified xsi:type="dcterms:W3CDTF">2025-04-16T09:24:00Z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MSIP_Label_70d91555-27bb-46d2-9299-bbdc28766cf5_Enabled">
    <vt:lpwstr>true</vt:lpwstr>
  </property>
  <property fmtid="{D5CDD505-2E9C-101B-9397-08002B2CF9AE}" pid="4" name="MSIP_Label_70d91555-27bb-46d2-9299-bbdc28766cf5_SetDate">
    <vt:lpwstr>2025-04-16T09:21:29Z</vt:lpwstr>
  </property>
  <property fmtid="{D5CDD505-2E9C-101B-9397-08002B2CF9AE}" pid="5" name="MSIP_Label_70d91555-27bb-46d2-9299-bbdc28766cf5_Method">
    <vt:lpwstr>Standard</vt:lpwstr>
  </property>
  <property fmtid="{D5CDD505-2E9C-101B-9397-08002B2CF9AE}" pid="6" name="MSIP_Label_70d91555-27bb-46d2-9299-bbdc28766cf5_Name">
    <vt:lpwstr>Open - General</vt:lpwstr>
  </property>
  <property fmtid="{D5CDD505-2E9C-101B-9397-08002B2CF9AE}" pid="7" name="MSIP_Label_70d91555-27bb-46d2-9299-bbdc28766cf5_SiteId">
    <vt:lpwstr>49d00196-dd46-45ae-a2e6-912969fa3ac8</vt:lpwstr>
  </property>
  <property fmtid="{D5CDD505-2E9C-101B-9397-08002B2CF9AE}" pid="8" name="MSIP_Label_70d91555-27bb-46d2-9299-bbdc28766cf5_ActionId">
    <vt:lpwstr>2b335f90-ee2b-4820-816c-be5c7db1c91c</vt:lpwstr>
  </property>
  <property fmtid="{D5CDD505-2E9C-101B-9397-08002B2CF9AE}" pid="9" name="MSIP_Label_70d91555-27bb-46d2-9299-bbdc28766cf5_ContentBits">
    <vt:lpwstr>0</vt:lpwstr>
  </property>
</Properties>
</file>