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15F2" w14:textId="61322C9E" w:rsidR="001E7425" w:rsidRPr="006F3BAB" w:rsidRDefault="001E7425" w:rsidP="00855DAE">
      <w:pPr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>TERMOS DE REFERÊNCIA</w:t>
      </w:r>
      <w:bookmarkStart w:id="0" w:name="_GoBack"/>
      <w:bookmarkEnd w:id="0"/>
      <w:r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PARA A ELABORAÇÃO DE DIRECTRIZES </w:t>
      </w:r>
      <w:r w:rsidR="006F3BAB"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PARA A </w:t>
      </w:r>
      <w:r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>POL</w:t>
      </w:r>
      <w:r w:rsidR="00423370">
        <w:rPr>
          <w:rFonts w:ascii="Calibri" w:hAnsi="Calibri" w:cs="Times New Roman"/>
          <w:b/>
          <w:color w:val="000000" w:themeColor="text1"/>
          <w:sz w:val="24"/>
          <w:szCs w:val="24"/>
        </w:rPr>
        <w:t>ÍTICA DE GESTÃO FINANCEIRA DA COMISSÃO DE ÁGUAS DO</w:t>
      </w:r>
      <w:r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LIMPOPO (LIMCOM)</w:t>
      </w:r>
    </w:p>
    <w:p w14:paraId="2BAEC02E" w14:textId="77777777" w:rsidR="001E7425" w:rsidRPr="006F3BAB" w:rsidRDefault="001E7425" w:rsidP="001E7425">
      <w:pPr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>1. Introdução</w:t>
      </w:r>
    </w:p>
    <w:p w14:paraId="6A0F6153" w14:textId="16956658" w:rsidR="001E7425" w:rsidRPr="006F3BAB" w:rsidRDefault="001E7425" w:rsidP="001E7425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A Bacia do Rio Limpopo é partilhada por quatro Estados Membros da SADC, nomeadamente </w:t>
      </w:r>
      <w:r w:rsidR="006F3BAB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Botwana,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Moçambique, África do Sul e Zimbabwe. O compromisso dos </w:t>
      </w:r>
      <w:r w:rsidR="002915E5" w:rsidRPr="006F3BAB">
        <w:rPr>
          <w:rFonts w:ascii="Calibri" w:hAnsi="Calibri" w:cs="Times New Roman"/>
          <w:color w:val="000000" w:themeColor="text1"/>
          <w:sz w:val="24"/>
          <w:szCs w:val="24"/>
        </w:rPr>
        <w:t>estados ribeirinhos de gerir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os recursos hídricos da bacia de</w:t>
      </w:r>
      <w:r w:rsidR="002915E5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uma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maneira colaborativa data de 1986, quando o “Comitê Técnico Permanente da Bacia do Limpopo” foi </w:t>
      </w:r>
      <w:r w:rsidR="002915E5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conjuntamente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estabelecido. Em 2003, </w:t>
      </w:r>
      <w:r w:rsidR="002915E5" w:rsidRPr="006F3BAB">
        <w:rPr>
          <w:rFonts w:ascii="Calibri" w:hAnsi="Calibri" w:cs="Times New Roman"/>
          <w:color w:val="000000" w:themeColor="text1"/>
          <w:sz w:val="24"/>
          <w:szCs w:val="24"/>
        </w:rPr>
        <w:t>este quadro de cooperação foi promovido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472151" w:rsidRPr="006F3BAB">
        <w:rPr>
          <w:rFonts w:ascii="Calibri" w:hAnsi="Calibri" w:cs="Times New Roman"/>
          <w:color w:val="000000" w:themeColor="text1"/>
          <w:sz w:val="24"/>
          <w:szCs w:val="24"/>
        </w:rPr>
        <w:t>através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do acordo multilateral que estabeleceu a Comissão do Curso de Água do Limpopo (LIMCOM), com o obje</w:t>
      </w:r>
      <w:r w:rsidR="00472151" w:rsidRPr="006F3BAB">
        <w:rPr>
          <w:rFonts w:ascii="Calibri" w:hAnsi="Calibri" w:cs="Times New Roman"/>
          <w:color w:val="000000" w:themeColor="text1"/>
          <w:sz w:val="24"/>
          <w:szCs w:val="24"/>
        </w:rPr>
        <w:t>c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tivo de “assessorar as Partes Contratantes sobre os usos do Limpopo, seus </w:t>
      </w:r>
      <w:r w:rsidR="00472151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afluentes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e águas para fins e medidas de prote</w:t>
      </w:r>
      <w:r w:rsidR="00472151" w:rsidRPr="006F3BAB">
        <w:rPr>
          <w:rFonts w:ascii="Calibri" w:hAnsi="Calibri" w:cs="Times New Roman"/>
          <w:color w:val="000000" w:themeColor="text1"/>
          <w:sz w:val="24"/>
          <w:szCs w:val="24"/>
        </w:rPr>
        <w:t>c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ção, preservação e gestão do Limpopo ”(acordo LIMCOM </w:t>
      </w:r>
      <w:r w:rsidR="00472151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de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2003).</w:t>
      </w:r>
    </w:p>
    <w:p w14:paraId="2FF74C55" w14:textId="77777777" w:rsidR="001E7425" w:rsidRPr="006F3BAB" w:rsidRDefault="001E7425" w:rsidP="00694DDC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54487E9D" w14:textId="3F286623" w:rsidR="00167D59" w:rsidRPr="006F3BAB" w:rsidRDefault="00167D59" w:rsidP="00167D59">
      <w:pPr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>2. Antecedentes</w:t>
      </w:r>
    </w:p>
    <w:p w14:paraId="100F42A3" w14:textId="340D57C1" w:rsidR="00167D59" w:rsidRPr="006F3BAB" w:rsidRDefault="00167D59" w:rsidP="00167D59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Com o apoio do Programa Águas Resilientes da Chemonics Internacional e assistência financeira da USAID, a LIMCOM identificou a necessidade de </w:t>
      </w:r>
      <w:r w:rsidR="006F3BAB" w:rsidRPr="006F3BAB">
        <w:rPr>
          <w:rFonts w:ascii="Calibri" w:hAnsi="Calibri" w:cs="Times New Roman"/>
          <w:color w:val="000000" w:themeColor="text1"/>
          <w:sz w:val="24"/>
          <w:szCs w:val="24"/>
        </w:rPr>
        <w:t>elaboração de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Directrizes de Política de Gestão Financeira, para orientar a gestão eficaz das finanças dentro da organização. Possui</w:t>
      </w:r>
      <w:r w:rsidR="00F10E2F" w:rsidRPr="006F3BAB">
        <w:rPr>
          <w:rFonts w:ascii="Calibri" w:hAnsi="Calibri" w:cs="Times New Roman"/>
          <w:color w:val="000000" w:themeColor="text1"/>
          <w:sz w:val="24"/>
          <w:szCs w:val="24"/>
        </w:rPr>
        <w:t>r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e </w:t>
      </w:r>
      <w:r w:rsidR="00F10E2F" w:rsidRPr="006F3BAB">
        <w:rPr>
          <w:rFonts w:ascii="Calibri" w:hAnsi="Calibri" w:cs="Times New Roman"/>
          <w:color w:val="000000" w:themeColor="text1"/>
          <w:sz w:val="24"/>
          <w:szCs w:val="24"/>
        </w:rPr>
        <w:t>por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m prática políticas e directrizes de gestão financeira é essencial para garantir um financiamento responsável e transparente, visando a sustentabilidade e bom desempenho 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da organização. É fundamental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que as decisões de gestão financeir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a sejam tomadas de acordo com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dire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c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trizes sólidas de gestão financeira, de acordo com os padrões internacionalmente reconhecidos. Além disso, quando as políticas de 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gestão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financeira não existirem ou forem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implementadas inadequadamente, os níveis de transparência e credibilidade das decisões financeiras tendem a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baixar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e, por fim, degradando os valores 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reputação da organização, 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para além de </w:t>
      </w:r>
      <w:r w:rsidR="00F10E2F" w:rsidRPr="006F3BAB">
        <w:rPr>
          <w:rFonts w:ascii="Calibri" w:hAnsi="Calibri" w:cs="Times New Roman"/>
          <w:color w:val="000000" w:themeColor="text1"/>
          <w:sz w:val="24"/>
          <w:szCs w:val="24"/>
        </w:rPr>
        <w:t>expor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a oranização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a a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c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tividades fraudulentas.</w:t>
      </w:r>
    </w:p>
    <w:p w14:paraId="747674E3" w14:textId="4A349CC5" w:rsidR="001F253F" w:rsidRDefault="00612A5F" w:rsidP="00694DDC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Portanto, desenvolver 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a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política e gestão financeira para LIMCOM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incutirá práticas de tomada de decisão responsável e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transparente</w:t>
      </w:r>
      <w:r w:rsidR="00C26C1A" w:rsidRPr="006F3BAB">
        <w:rPr>
          <w:rFonts w:ascii="Calibri" w:hAnsi="Calibri" w:cs="Times New Roman"/>
          <w:color w:val="000000" w:themeColor="text1"/>
          <w:sz w:val="24"/>
          <w:szCs w:val="24"/>
        </w:rPr>
        <w:t>, contribuindo para a sustentabilidade financeira da organização.</w:t>
      </w:r>
    </w:p>
    <w:p w14:paraId="7EEC5183" w14:textId="77777777" w:rsidR="006F3BAB" w:rsidRDefault="006F3BAB" w:rsidP="00694DDC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4B001CF4" w14:textId="77777777" w:rsidR="006F3BAB" w:rsidRDefault="006F3BAB" w:rsidP="00694DDC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5E639AF9" w14:textId="77777777" w:rsidR="006F3BAB" w:rsidRDefault="006F3BAB" w:rsidP="00694DDC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2E3D3699" w14:textId="77777777" w:rsidR="006F3BAB" w:rsidRPr="006F3BAB" w:rsidRDefault="006F3BAB" w:rsidP="00694DDC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7F480CA6" w14:textId="53419264" w:rsidR="00D408FE" w:rsidRPr="006F3BAB" w:rsidRDefault="00D408FE" w:rsidP="00D408FE">
      <w:pPr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3. Obje</w:t>
      </w:r>
      <w:r w:rsidR="00612A5F"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ctivo </w:t>
      </w:r>
      <w:r w:rsidR="00BC763C" w:rsidRPr="006F3BAB">
        <w:rPr>
          <w:rFonts w:ascii="Calibri" w:hAnsi="Calibri" w:cs="Times New Roman"/>
          <w:b/>
          <w:color w:val="000000" w:themeColor="text1"/>
          <w:sz w:val="24"/>
          <w:szCs w:val="24"/>
        </w:rPr>
        <w:t>da Actividade</w:t>
      </w:r>
    </w:p>
    <w:p w14:paraId="0A1A4803" w14:textId="7563B054" w:rsidR="00D408FE" w:rsidRPr="006F3BAB" w:rsidRDefault="00D408FE" w:rsidP="00D408FE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O obje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ctivo desta actividade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é desenvolver as políticas e dire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c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trizes de ge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stão financeira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da LIMCOM. O documen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to de políticas de gestão financeira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apresenta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um conjunto de regras, regulamentos, procedimentos e responsabilidades para ajudar a LIMCOM a lidar consistentemente com os recurs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os financeiros sob a sua responsabilidade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, ao mesmo tempo 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em que prevê o rastreamento e controle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responsáveis ​​dos fundos (e outros recursos valiosos) sob </w:t>
      </w:r>
      <w:r w:rsidR="00BC763C" w:rsidRPr="006F3BAB">
        <w:rPr>
          <w:rFonts w:ascii="Calibri" w:hAnsi="Calibri" w:cs="Times New Roman"/>
          <w:color w:val="000000" w:themeColor="text1"/>
          <w:sz w:val="24"/>
          <w:szCs w:val="24"/>
        </w:rPr>
        <w:t>a sua responsabilidade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2D495529" w14:textId="61A28ABF" w:rsidR="00763934" w:rsidRPr="006F3BAB" w:rsidRDefault="00BC763C" w:rsidP="00D408FE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O documento da</w:t>
      </w:r>
      <w:r w:rsidR="00D408FE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política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e directrizes </w:t>
      </w:r>
      <w:r w:rsidR="00D408FE" w:rsidRPr="006F3BAB">
        <w:rPr>
          <w:rFonts w:ascii="Calibri" w:hAnsi="Calibri" w:cs="Times New Roman"/>
          <w:color w:val="000000" w:themeColor="text1"/>
          <w:sz w:val="24"/>
          <w:szCs w:val="24"/>
        </w:rPr>
        <w:t>de ge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stão financeira</w:t>
      </w:r>
      <w:r w:rsidR="00D408FE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guiarão o processo da LIMCOM de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utilização</w:t>
      </w:r>
      <w:r w:rsidR="00D408FE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d</w:t>
      </w:r>
      <w:r w:rsidR="00D408FE" w:rsidRPr="006F3BAB">
        <w:rPr>
          <w:rFonts w:ascii="Calibri" w:hAnsi="Calibri" w:cs="Times New Roman"/>
          <w:color w:val="000000" w:themeColor="text1"/>
          <w:sz w:val="24"/>
          <w:szCs w:val="24"/>
        </w:rPr>
        <w:t>os recursos financeiros de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uma form</w:t>
      </w:r>
      <w:r w:rsidR="00D408FE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responsável e </w:t>
      </w:r>
      <w:r w:rsidRPr="006F3BAB">
        <w:rPr>
          <w:rFonts w:ascii="Calibri" w:hAnsi="Calibri" w:cs="Times New Roman"/>
          <w:color w:val="000000" w:themeColor="text1"/>
          <w:sz w:val="24"/>
          <w:szCs w:val="24"/>
        </w:rPr>
        <w:t>transparente, além de promover uma</w:t>
      </w:r>
      <w:r w:rsidR="00D408FE" w:rsidRPr="006F3BAB">
        <w:rPr>
          <w:rFonts w:ascii="Calibri" w:hAnsi="Calibri" w:cs="Times New Roman"/>
          <w:color w:val="000000" w:themeColor="text1"/>
          <w:sz w:val="24"/>
          <w:szCs w:val="24"/>
        </w:rPr>
        <w:t xml:space="preserve"> tomada de decisão financeira prudente.</w:t>
      </w:r>
    </w:p>
    <w:p w14:paraId="3BA4C241" w14:textId="77777777" w:rsidR="00536F9E" w:rsidRPr="006F3BAB" w:rsidRDefault="00536F9E" w:rsidP="009B6E02">
      <w:pPr>
        <w:ind w:left="360"/>
        <w:rPr>
          <w:rFonts w:ascii="Calibri" w:hAnsi="Calibri"/>
          <w:color w:val="000000" w:themeColor="text1"/>
          <w:sz w:val="24"/>
          <w:szCs w:val="24"/>
        </w:rPr>
      </w:pPr>
    </w:p>
    <w:p w14:paraId="3E326909" w14:textId="77777777" w:rsidR="00536F9E" w:rsidRPr="006F3BAB" w:rsidRDefault="00536F9E" w:rsidP="009B6E02">
      <w:pPr>
        <w:ind w:left="360"/>
        <w:rPr>
          <w:rFonts w:ascii="Calibri" w:hAnsi="Calibri"/>
          <w:b/>
          <w:color w:val="000000" w:themeColor="text1"/>
          <w:sz w:val="24"/>
          <w:szCs w:val="24"/>
        </w:rPr>
      </w:pPr>
      <w:r w:rsidRPr="006F3BAB">
        <w:rPr>
          <w:rFonts w:ascii="Calibri" w:hAnsi="Calibri"/>
          <w:b/>
          <w:color w:val="000000" w:themeColor="text1"/>
          <w:sz w:val="24"/>
          <w:szCs w:val="24"/>
        </w:rPr>
        <w:t>4. Critérios de elegibilidade</w:t>
      </w:r>
    </w:p>
    <w:p w14:paraId="2EF45FFA" w14:textId="35A38DEE" w:rsidR="00536F9E" w:rsidRPr="006F3BAB" w:rsidRDefault="00536F9E" w:rsidP="009B6E02">
      <w:pPr>
        <w:rPr>
          <w:rFonts w:ascii="Calibri" w:hAnsi="Calibri"/>
          <w:color w:val="000000" w:themeColor="text1"/>
          <w:sz w:val="24"/>
          <w:szCs w:val="24"/>
        </w:rPr>
      </w:pPr>
      <w:r w:rsidRPr="006F3BAB">
        <w:rPr>
          <w:rFonts w:ascii="Calibri" w:hAnsi="Calibri"/>
          <w:color w:val="000000" w:themeColor="text1"/>
          <w:sz w:val="24"/>
          <w:szCs w:val="24"/>
        </w:rPr>
        <w:t>A sele</w:t>
      </w:r>
      <w:r w:rsidR="00BC7EF2" w:rsidRPr="006F3BAB">
        <w:rPr>
          <w:rFonts w:ascii="Calibri" w:hAnsi="Calibri"/>
          <w:color w:val="000000" w:themeColor="text1"/>
          <w:sz w:val="24"/>
          <w:szCs w:val="24"/>
        </w:rPr>
        <w:t>cção do consultor/</w:t>
      </w:r>
      <w:r w:rsidRPr="006F3BAB">
        <w:rPr>
          <w:rFonts w:ascii="Calibri" w:hAnsi="Calibri"/>
          <w:color w:val="000000" w:themeColor="text1"/>
          <w:sz w:val="24"/>
          <w:szCs w:val="24"/>
        </w:rPr>
        <w:t>consultoria será orientada pelos seguintes critérios.</w:t>
      </w:r>
    </w:p>
    <w:p w14:paraId="7012CE43" w14:textId="7E786BE7" w:rsidR="00536F9E" w:rsidRPr="006F3BAB" w:rsidRDefault="00536F9E" w:rsidP="00536F9E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Pelo menos 5 anos</w:t>
      </w:r>
      <w:r w:rsidR="00BC7EF2" w:rsidRPr="006F3BAB">
        <w:rPr>
          <w:rFonts w:ascii="Calibri" w:hAnsi="Calibri"/>
          <w:color w:val="000000" w:themeColor="text1"/>
          <w:szCs w:val="24"/>
        </w:rPr>
        <w:t xml:space="preserve"> de experiência em matérias de gestão financeira e finanças</w:t>
      </w:r>
      <w:r w:rsidRPr="006F3BAB">
        <w:rPr>
          <w:rFonts w:ascii="Calibri" w:hAnsi="Calibri"/>
          <w:color w:val="000000" w:themeColor="text1"/>
          <w:szCs w:val="24"/>
        </w:rPr>
        <w:t xml:space="preserve"> de desenvolvimento.</w:t>
      </w:r>
    </w:p>
    <w:p w14:paraId="1C7FD561" w14:textId="5FE23E4F" w:rsidR="00536F9E" w:rsidRPr="006F3BAB" w:rsidRDefault="00536F9E" w:rsidP="00536F9E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Compreende</w:t>
      </w:r>
      <w:r w:rsidR="00BC7EF2" w:rsidRPr="006F3BAB">
        <w:rPr>
          <w:rFonts w:ascii="Calibri" w:hAnsi="Calibri"/>
          <w:color w:val="000000" w:themeColor="text1"/>
          <w:szCs w:val="24"/>
        </w:rPr>
        <w:t>r os princípios de gestão</w:t>
      </w:r>
      <w:r w:rsidRPr="006F3BAB">
        <w:rPr>
          <w:rFonts w:ascii="Calibri" w:hAnsi="Calibri"/>
          <w:color w:val="000000" w:themeColor="text1"/>
          <w:szCs w:val="24"/>
        </w:rPr>
        <w:t xml:space="preserve"> financeiro, processos e princípios de auditoria, orçamento e processos financeiros importantes, incluindo contas, folha de pagamento, fa</w:t>
      </w:r>
      <w:r w:rsidR="00BC7EF2" w:rsidRPr="006F3BAB">
        <w:rPr>
          <w:rFonts w:ascii="Calibri" w:hAnsi="Calibri"/>
          <w:color w:val="000000" w:themeColor="text1"/>
          <w:szCs w:val="24"/>
        </w:rPr>
        <w:t>cturação, recepção</w:t>
      </w:r>
      <w:r w:rsidRPr="006F3BAB">
        <w:rPr>
          <w:rFonts w:ascii="Calibri" w:hAnsi="Calibri"/>
          <w:color w:val="000000" w:themeColor="text1"/>
          <w:szCs w:val="24"/>
        </w:rPr>
        <w:t xml:space="preserve"> e compra</w:t>
      </w:r>
      <w:r w:rsidR="00BC7EF2" w:rsidRPr="006F3BAB">
        <w:rPr>
          <w:rFonts w:ascii="Calibri" w:hAnsi="Calibri"/>
          <w:color w:val="000000" w:themeColor="text1"/>
          <w:szCs w:val="24"/>
        </w:rPr>
        <w:t>s</w:t>
      </w:r>
      <w:r w:rsidRPr="006F3BAB">
        <w:rPr>
          <w:rFonts w:ascii="Calibri" w:hAnsi="Calibri"/>
          <w:color w:val="000000" w:themeColor="text1"/>
          <w:szCs w:val="24"/>
        </w:rPr>
        <w:t>, entre outros processos financeiros complementares.</w:t>
      </w:r>
    </w:p>
    <w:p w14:paraId="6F29B996" w14:textId="057D40E2" w:rsidR="00536F9E" w:rsidRPr="006F3BAB" w:rsidRDefault="00536F9E" w:rsidP="00536F9E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Conhecimento sólido das normas internacionais de relatório financeiro e das normas internacionais de auditoria</w:t>
      </w:r>
    </w:p>
    <w:p w14:paraId="2EC1970B" w14:textId="312ECBF5" w:rsidR="00536F9E" w:rsidRPr="006F3BAB" w:rsidRDefault="00536F9E" w:rsidP="00536F9E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Compreensão da legislação tributária aplicável e da Lei de Gestão de Finanças Públicas na região da África Austral</w:t>
      </w:r>
    </w:p>
    <w:p w14:paraId="53CC5C08" w14:textId="15737470" w:rsidR="00536F9E" w:rsidRPr="006F3BAB" w:rsidRDefault="00536F9E" w:rsidP="00536F9E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Ter conhecimento de fluxos de fi</w:t>
      </w:r>
      <w:r w:rsidR="00BC7EF2" w:rsidRPr="006F3BAB">
        <w:rPr>
          <w:rFonts w:ascii="Calibri" w:hAnsi="Calibri"/>
          <w:color w:val="000000" w:themeColor="text1"/>
          <w:szCs w:val="24"/>
        </w:rPr>
        <w:t>nanciamento para organizações das</w:t>
      </w:r>
      <w:r w:rsidRPr="006F3BAB">
        <w:rPr>
          <w:rFonts w:ascii="Calibri" w:hAnsi="Calibri"/>
          <w:color w:val="000000" w:themeColor="text1"/>
          <w:szCs w:val="24"/>
        </w:rPr>
        <w:t xml:space="preserve"> bacias hidrográficas (RBOs), bem como opções para garantir a sustentabilidade financeira</w:t>
      </w:r>
    </w:p>
    <w:p w14:paraId="61F39358" w14:textId="09469BAC" w:rsidR="00536F9E" w:rsidRPr="006F3BAB" w:rsidRDefault="00536F9E" w:rsidP="00536F9E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Um sólido histórico em angariação de fundos, estratégias de financiamento e negociação com agências doadoras.</w:t>
      </w:r>
    </w:p>
    <w:p w14:paraId="58687B26" w14:textId="429D34A9" w:rsidR="00536F9E" w:rsidRPr="006F3BAB" w:rsidRDefault="00536F9E" w:rsidP="00536F9E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 xml:space="preserve">Ter </w:t>
      </w:r>
      <w:r w:rsidR="00BC7EF2" w:rsidRPr="006F3BAB">
        <w:rPr>
          <w:rFonts w:ascii="Calibri" w:hAnsi="Calibri"/>
          <w:color w:val="000000" w:themeColor="text1"/>
          <w:szCs w:val="24"/>
        </w:rPr>
        <w:t>uma capacidade demonstrada</w:t>
      </w:r>
      <w:r w:rsidRPr="006F3BAB">
        <w:rPr>
          <w:rFonts w:ascii="Calibri" w:hAnsi="Calibri"/>
          <w:color w:val="000000" w:themeColor="text1"/>
          <w:szCs w:val="24"/>
        </w:rPr>
        <w:t xml:space="preserve"> (pelo menos 3 projetos) com base em tarefas semelhantes realizadas no passado (preferencialmente na região da SADC).</w:t>
      </w:r>
    </w:p>
    <w:p w14:paraId="64ECD21F" w14:textId="53970B79" w:rsidR="00BC7EF2" w:rsidRPr="006F3BAB" w:rsidRDefault="00BC7EF2" w:rsidP="00BC7EF2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Uma compreensão do financiamento do sector de águas, princípios e directrizes de financiamento</w:t>
      </w:r>
    </w:p>
    <w:p w14:paraId="6C45D0F8" w14:textId="6C3689CF" w:rsidR="00BC7EF2" w:rsidRPr="006F3BAB" w:rsidRDefault="00BC7EF2" w:rsidP="00BC7EF2">
      <w:pPr>
        <w:pStyle w:val="ListParagraph"/>
        <w:numPr>
          <w:ilvl w:val="0"/>
          <w:numId w:val="28"/>
        </w:numPr>
        <w:rPr>
          <w:rFonts w:ascii="Calibri" w:hAnsi="Calibri"/>
          <w:color w:val="000000" w:themeColor="text1"/>
          <w:szCs w:val="24"/>
        </w:rPr>
      </w:pPr>
      <w:r w:rsidRPr="006F3BAB">
        <w:rPr>
          <w:rFonts w:ascii="Calibri" w:hAnsi="Calibri"/>
          <w:color w:val="000000" w:themeColor="text1"/>
          <w:szCs w:val="24"/>
        </w:rPr>
        <w:t>A experiência em trabalhar com agências doadoras será altamente vantajosa.</w:t>
      </w:r>
    </w:p>
    <w:p w14:paraId="0AAEBFE2" w14:textId="77777777" w:rsidR="001F253F" w:rsidRPr="006F3BAB" w:rsidRDefault="001F253F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2839A931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471C930B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2E41E976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31A60CE4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4A494312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779EE4E0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25BF4F53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3752F6FF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04DA784C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4C459F0D" w14:textId="77777777" w:rsidR="00BC7EF2" w:rsidRPr="006F3BAB" w:rsidRDefault="00BC7EF2" w:rsidP="00694DDC">
      <w:pPr>
        <w:pStyle w:val="Default"/>
        <w:jc w:val="both"/>
        <w:rPr>
          <w:rFonts w:ascii="Calibri" w:hAnsi="Calibri"/>
          <w:color w:val="000000" w:themeColor="text1"/>
        </w:rPr>
      </w:pPr>
    </w:p>
    <w:p w14:paraId="7DA3F98A" w14:textId="77777777" w:rsidR="001D3A52" w:rsidRPr="00630CF2" w:rsidRDefault="001D3A52" w:rsidP="009B6E02">
      <w:pPr>
        <w:spacing w:line="360" w:lineRule="auto"/>
        <w:ind w:left="360"/>
        <w:rPr>
          <w:rFonts w:ascii="Calibri" w:hAnsi="Calibri"/>
          <w:color w:val="000000" w:themeColor="text1"/>
          <w:sz w:val="24"/>
          <w:szCs w:val="24"/>
        </w:rPr>
      </w:pPr>
    </w:p>
    <w:p w14:paraId="182354D9" w14:textId="77777777" w:rsidR="00A961F5" w:rsidRPr="00630CF2" w:rsidRDefault="00A961F5" w:rsidP="00A961F5">
      <w:pPr>
        <w:rPr>
          <w:rFonts w:ascii="Calibri" w:hAnsi="Calibri"/>
          <w:b/>
          <w:color w:val="000000" w:themeColor="text1"/>
          <w:sz w:val="24"/>
          <w:szCs w:val="24"/>
        </w:rPr>
      </w:pPr>
    </w:p>
    <w:p w14:paraId="1E7AD5C9" w14:textId="67B22AC7" w:rsidR="00A961F5" w:rsidRPr="00630CF2" w:rsidRDefault="00A961F5" w:rsidP="00A961F5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630CF2">
        <w:rPr>
          <w:rFonts w:ascii="Calibri" w:hAnsi="Calibri"/>
          <w:b/>
          <w:color w:val="000000" w:themeColor="text1"/>
          <w:sz w:val="24"/>
          <w:szCs w:val="24"/>
        </w:rPr>
        <w:t>5. Duração prevista</w:t>
      </w:r>
    </w:p>
    <w:p w14:paraId="69684866" w14:textId="51E0F7B3" w:rsidR="00A961F5" w:rsidRPr="00630CF2" w:rsidRDefault="00A961F5" w:rsidP="00A961F5">
      <w:pPr>
        <w:rPr>
          <w:rFonts w:ascii="Calibri" w:hAnsi="Calibri"/>
          <w:color w:val="000000" w:themeColor="text1"/>
          <w:sz w:val="24"/>
          <w:szCs w:val="24"/>
        </w:rPr>
      </w:pPr>
      <w:r w:rsidRPr="00630CF2">
        <w:rPr>
          <w:rFonts w:ascii="Calibri" w:hAnsi="Calibri"/>
          <w:color w:val="000000" w:themeColor="text1"/>
          <w:sz w:val="24"/>
          <w:szCs w:val="24"/>
        </w:rPr>
        <w:t>As dire</w:t>
      </w:r>
      <w:r w:rsidR="005125D7" w:rsidRPr="00630CF2">
        <w:rPr>
          <w:rFonts w:ascii="Calibri" w:hAnsi="Calibri"/>
          <w:color w:val="000000" w:themeColor="text1"/>
          <w:sz w:val="24"/>
          <w:szCs w:val="24"/>
        </w:rPr>
        <w:t>c</w:t>
      </w:r>
      <w:r w:rsidRPr="00630CF2">
        <w:rPr>
          <w:rFonts w:ascii="Calibri" w:hAnsi="Calibri"/>
          <w:color w:val="000000" w:themeColor="text1"/>
          <w:sz w:val="24"/>
          <w:szCs w:val="24"/>
        </w:rPr>
        <w:t>trizes finaliza</w:t>
      </w:r>
      <w:r w:rsidR="005125D7" w:rsidRPr="00630CF2">
        <w:rPr>
          <w:rFonts w:ascii="Calibri" w:hAnsi="Calibri"/>
          <w:color w:val="000000" w:themeColor="text1"/>
          <w:sz w:val="24"/>
          <w:szCs w:val="24"/>
        </w:rPr>
        <w:t xml:space="preserve">das da política de gestão financeira deverão </w:t>
      </w:r>
      <w:r w:rsidRPr="00630CF2">
        <w:rPr>
          <w:rFonts w:ascii="Calibri" w:hAnsi="Calibri"/>
          <w:color w:val="000000" w:themeColor="text1"/>
          <w:sz w:val="24"/>
          <w:szCs w:val="24"/>
        </w:rPr>
        <w:t>ser concluídas pela consultoria dentro de 9 semanas a partir da data de assinatura do contrato. O nível de esforço deve</w:t>
      </w:r>
      <w:r w:rsidR="005125D7" w:rsidRPr="00630CF2">
        <w:rPr>
          <w:rFonts w:ascii="Calibri" w:hAnsi="Calibri"/>
          <w:color w:val="000000" w:themeColor="text1"/>
          <w:sz w:val="24"/>
          <w:szCs w:val="24"/>
        </w:rPr>
        <w:t>rá</w:t>
      </w:r>
      <w:r w:rsidRPr="00630CF2">
        <w:rPr>
          <w:rFonts w:ascii="Calibri" w:hAnsi="Calibri"/>
          <w:color w:val="000000" w:themeColor="text1"/>
          <w:sz w:val="24"/>
          <w:szCs w:val="24"/>
        </w:rPr>
        <w:t xml:space="preserve"> ser de 30 dias.</w:t>
      </w:r>
    </w:p>
    <w:p w14:paraId="60AE5CBA" w14:textId="2958E271" w:rsidR="00A961F5" w:rsidRPr="00630CF2" w:rsidRDefault="005125D7" w:rsidP="00A961F5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630CF2">
        <w:rPr>
          <w:rFonts w:ascii="Calibri" w:hAnsi="Calibri"/>
          <w:b/>
          <w:color w:val="000000" w:themeColor="text1"/>
          <w:sz w:val="24"/>
          <w:szCs w:val="24"/>
        </w:rPr>
        <w:t>6. Resultados</w:t>
      </w:r>
    </w:p>
    <w:p w14:paraId="1C282616" w14:textId="3DFF1AD6" w:rsidR="00A961F5" w:rsidRPr="00630CF2" w:rsidRDefault="00A961F5" w:rsidP="00A961F5">
      <w:pPr>
        <w:rPr>
          <w:rFonts w:ascii="Calibri" w:hAnsi="Calibri"/>
          <w:color w:val="000000" w:themeColor="text1"/>
          <w:sz w:val="24"/>
          <w:szCs w:val="24"/>
        </w:rPr>
      </w:pPr>
      <w:r w:rsidRPr="00630CF2">
        <w:rPr>
          <w:rFonts w:ascii="Calibri" w:hAnsi="Calibri"/>
          <w:color w:val="000000" w:themeColor="text1"/>
          <w:sz w:val="24"/>
          <w:szCs w:val="24"/>
        </w:rPr>
        <w:t>Os seguintes</w:t>
      </w:r>
      <w:r w:rsidR="005125D7" w:rsidRPr="00630CF2">
        <w:rPr>
          <w:rFonts w:ascii="Calibri" w:hAnsi="Calibri"/>
          <w:color w:val="000000" w:themeColor="text1"/>
          <w:sz w:val="24"/>
          <w:szCs w:val="24"/>
        </w:rPr>
        <w:t xml:space="preserve"> resultados</w:t>
      </w:r>
      <w:r w:rsidRPr="00630CF2">
        <w:rPr>
          <w:rFonts w:ascii="Calibri" w:hAnsi="Calibri"/>
          <w:color w:val="000000" w:themeColor="text1"/>
          <w:sz w:val="24"/>
          <w:szCs w:val="24"/>
        </w:rPr>
        <w:t xml:space="preserve"> são esperados deste proje</w:t>
      </w:r>
      <w:r w:rsidR="005125D7" w:rsidRPr="00630CF2">
        <w:rPr>
          <w:rFonts w:ascii="Calibri" w:hAnsi="Calibri"/>
          <w:color w:val="000000" w:themeColor="text1"/>
          <w:sz w:val="24"/>
          <w:szCs w:val="24"/>
        </w:rPr>
        <w:t>c</w:t>
      </w:r>
      <w:r w:rsidRPr="00630CF2">
        <w:rPr>
          <w:rFonts w:ascii="Calibri" w:hAnsi="Calibri"/>
          <w:color w:val="000000" w:themeColor="text1"/>
          <w:sz w:val="24"/>
          <w:szCs w:val="24"/>
        </w:rPr>
        <w:t>to:</w:t>
      </w:r>
    </w:p>
    <w:p w14:paraId="4B49DDA7" w14:textId="14308655" w:rsidR="00A961F5" w:rsidRPr="00630CF2" w:rsidRDefault="005125D7" w:rsidP="009B6E02">
      <w:pPr>
        <w:pStyle w:val="ListParagraph"/>
        <w:numPr>
          <w:ilvl w:val="0"/>
          <w:numId w:val="35"/>
        </w:numPr>
        <w:rPr>
          <w:rFonts w:ascii="Calibri" w:hAnsi="Calibri"/>
          <w:color w:val="000000" w:themeColor="text1"/>
          <w:szCs w:val="24"/>
        </w:rPr>
      </w:pPr>
      <w:r w:rsidRPr="00630CF2">
        <w:rPr>
          <w:rFonts w:ascii="Calibri" w:hAnsi="Calibri"/>
          <w:color w:val="000000" w:themeColor="text1"/>
          <w:szCs w:val="24"/>
        </w:rPr>
        <w:t>Relatório de Incepção</w:t>
      </w:r>
      <w:r w:rsidR="00A961F5" w:rsidRPr="00630CF2">
        <w:rPr>
          <w:rFonts w:ascii="Calibri" w:hAnsi="Calibri"/>
          <w:color w:val="000000" w:themeColor="text1"/>
          <w:szCs w:val="24"/>
        </w:rPr>
        <w:t xml:space="preserve"> - dentro de três semanas após o início do proje</w:t>
      </w:r>
      <w:r w:rsidRPr="00630CF2">
        <w:rPr>
          <w:rFonts w:ascii="Calibri" w:hAnsi="Calibri"/>
          <w:color w:val="000000" w:themeColor="text1"/>
          <w:szCs w:val="24"/>
        </w:rPr>
        <w:t>c</w:t>
      </w:r>
      <w:r w:rsidR="00A961F5" w:rsidRPr="00630CF2">
        <w:rPr>
          <w:rFonts w:ascii="Calibri" w:hAnsi="Calibri"/>
          <w:color w:val="000000" w:themeColor="text1"/>
          <w:szCs w:val="24"/>
        </w:rPr>
        <w:t>to</w:t>
      </w:r>
    </w:p>
    <w:p w14:paraId="6BC92A54" w14:textId="5EAFBB33" w:rsidR="00A961F5" w:rsidRPr="00630CF2" w:rsidRDefault="00A961F5" w:rsidP="009B6E02">
      <w:pPr>
        <w:pStyle w:val="ListParagraph"/>
        <w:numPr>
          <w:ilvl w:val="0"/>
          <w:numId w:val="35"/>
        </w:numPr>
        <w:rPr>
          <w:rFonts w:ascii="Calibri" w:hAnsi="Calibri"/>
          <w:color w:val="000000" w:themeColor="text1"/>
          <w:szCs w:val="24"/>
        </w:rPr>
      </w:pPr>
      <w:r w:rsidRPr="00630CF2">
        <w:rPr>
          <w:rFonts w:ascii="Calibri" w:hAnsi="Calibri"/>
          <w:color w:val="000000" w:themeColor="text1"/>
          <w:szCs w:val="24"/>
        </w:rPr>
        <w:t>Proje</w:t>
      </w:r>
      <w:r w:rsidR="005125D7" w:rsidRPr="00630CF2">
        <w:rPr>
          <w:rFonts w:ascii="Calibri" w:hAnsi="Calibri"/>
          <w:color w:val="000000" w:themeColor="text1"/>
          <w:szCs w:val="24"/>
        </w:rPr>
        <w:t>cto de política de gestão financeira</w:t>
      </w:r>
      <w:r w:rsidRPr="00630CF2">
        <w:rPr>
          <w:rFonts w:ascii="Calibri" w:hAnsi="Calibri"/>
          <w:color w:val="000000" w:themeColor="text1"/>
          <w:szCs w:val="24"/>
        </w:rPr>
        <w:t xml:space="preserve"> - dentro de 7 semanas após o início do proje</w:t>
      </w:r>
      <w:r w:rsidR="005125D7" w:rsidRPr="00630CF2">
        <w:rPr>
          <w:rFonts w:ascii="Calibri" w:hAnsi="Calibri"/>
          <w:color w:val="000000" w:themeColor="text1"/>
          <w:szCs w:val="24"/>
        </w:rPr>
        <w:t>c</w:t>
      </w:r>
      <w:r w:rsidRPr="00630CF2">
        <w:rPr>
          <w:rFonts w:ascii="Calibri" w:hAnsi="Calibri"/>
          <w:color w:val="000000" w:themeColor="text1"/>
          <w:szCs w:val="24"/>
        </w:rPr>
        <w:t>to</w:t>
      </w:r>
    </w:p>
    <w:p w14:paraId="1F69D07A" w14:textId="75418602" w:rsidR="00A961F5" w:rsidRPr="00630CF2" w:rsidRDefault="00A961F5" w:rsidP="009B6E02">
      <w:pPr>
        <w:pStyle w:val="ListParagraph"/>
        <w:numPr>
          <w:ilvl w:val="0"/>
          <w:numId w:val="35"/>
        </w:numPr>
        <w:rPr>
          <w:rFonts w:ascii="Calibri" w:hAnsi="Calibri"/>
          <w:color w:val="000000" w:themeColor="text1"/>
          <w:szCs w:val="24"/>
        </w:rPr>
      </w:pPr>
      <w:r w:rsidRPr="00630CF2">
        <w:rPr>
          <w:rFonts w:ascii="Calibri" w:hAnsi="Calibri"/>
          <w:color w:val="000000" w:themeColor="text1"/>
          <w:szCs w:val="24"/>
        </w:rPr>
        <w:t>Polít</w:t>
      </w:r>
      <w:r w:rsidR="005125D7" w:rsidRPr="00630CF2">
        <w:rPr>
          <w:rFonts w:ascii="Calibri" w:hAnsi="Calibri"/>
          <w:color w:val="000000" w:themeColor="text1"/>
          <w:szCs w:val="24"/>
        </w:rPr>
        <w:t>ica finalizada de gestão financeira</w:t>
      </w:r>
      <w:r w:rsidRPr="00630CF2">
        <w:rPr>
          <w:rFonts w:ascii="Calibri" w:hAnsi="Calibri"/>
          <w:color w:val="000000" w:themeColor="text1"/>
          <w:szCs w:val="24"/>
        </w:rPr>
        <w:t xml:space="preserve"> - dentro de 10 semanas do início do proje</w:t>
      </w:r>
      <w:r w:rsidR="005125D7" w:rsidRPr="00630CF2">
        <w:rPr>
          <w:rFonts w:ascii="Calibri" w:hAnsi="Calibri"/>
          <w:color w:val="000000" w:themeColor="text1"/>
          <w:szCs w:val="24"/>
        </w:rPr>
        <w:t>c</w:t>
      </w:r>
      <w:r w:rsidRPr="00630CF2">
        <w:rPr>
          <w:rFonts w:ascii="Calibri" w:hAnsi="Calibri"/>
          <w:color w:val="000000" w:themeColor="text1"/>
          <w:szCs w:val="24"/>
        </w:rPr>
        <w:t>to</w:t>
      </w:r>
    </w:p>
    <w:p w14:paraId="396FAAD1" w14:textId="4610C847" w:rsidR="00A961F5" w:rsidRPr="00630CF2" w:rsidRDefault="005125D7" w:rsidP="009B6E02">
      <w:pPr>
        <w:pStyle w:val="ListParagraph"/>
        <w:numPr>
          <w:ilvl w:val="0"/>
          <w:numId w:val="35"/>
        </w:numPr>
        <w:rPr>
          <w:rFonts w:ascii="Calibri" w:hAnsi="Calibri"/>
          <w:color w:val="000000" w:themeColor="text1"/>
          <w:szCs w:val="24"/>
        </w:rPr>
      </w:pPr>
      <w:r w:rsidRPr="00630CF2">
        <w:rPr>
          <w:rFonts w:ascii="Calibri" w:hAnsi="Calibri"/>
          <w:color w:val="000000" w:themeColor="text1"/>
          <w:szCs w:val="24"/>
        </w:rPr>
        <w:t>Pelo menos dois workshops com a</w:t>
      </w:r>
      <w:r w:rsidR="00A961F5" w:rsidRPr="00630CF2">
        <w:rPr>
          <w:rFonts w:ascii="Calibri" w:hAnsi="Calibri"/>
          <w:color w:val="000000" w:themeColor="text1"/>
          <w:szCs w:val="24"/>
        </w:rPr>
        <w:t xml:space="preserve"> LIMSEC e os repre</w:t>
      </w:r>
      <w:r w:rsidRPr="00630CF2">
        <w:rPr>
          <w:rFonts w:ascii="Calibri" w:hAnsi="Calibri"/>
          <w:color w:val="000000" w:themeColor="text1"/>
          <w:szCs w:val="24"/>
        </w:rPr>
        <w:t>sentantes dos Estados Membros deve</w:t>
      </w:r>
      <w:r w:rsidR="00A961F5" w:rsidRPr="00630CF2">
        <w:rPr>
          <w:rFonts w:ascii="Calibri" w:hAnsi="Calibri"/>
          <w:color w:val="000000" w:themeColor="text1"/>
          <w:szCs w:val="24"/>
        </w:rPr>
        <w:t xml:space="preserve">rão </w:t>
      </w:r>
      <w:r w:rsidRPr="00630CF2">
        <w:rPr>
          <w:rFonts w:ascii="Calibri" w:hAnsi="Calibri"/>
          <w:color w:val="000000" w:themeColor="text1"/>
          <w:szCs w:val="24"/>
        </w:rPr>
        <w:t xml:space="preserve">ser </w:t>
      </w:r>
      <w:r w:rsidR="00A961F5" w:rsidRPr="00630CF2">
        <w:rPr>
          <w:rFonts w:ascii="Calibri" w:hAnsi="Calibri"/>
          <w:color w:val="000000" w:themeColor="text1"/>
          <w:szCs w:val="24"/>
        </w:rPr>
        <w:t>reali</w:t>
      </w:r>
      <w:r w:rsidRPr="00630CF2">
        <w:rPr>
          <w:rFonts w:ascii="Calibri" w:hAnsi="Calibri"/>
          <w:color w:val="000000" w:themeColor="text1"/>
          <w:szCs w:val="24"/>
        </w:rPr>
        <w:t>zados durante o curso da actividade.</w:t>
      </w:r>
    </w:p>
    <w:p w14:paraId="73D0463C" w14:textId="77777777" w:rsidR="00A961F5" w:rsidRPr="00630CF2" w:rsidRDefault="00A961F5" w:rsidP="009B6E02">
      <w:pPr>
        <w:spacing w:line="360" w:lineRule="auto"/>
        <w:ind w:left="360"/>
        <w:rPr>
          <w:rFonts w:ascii="Calibri" w:hAnsi="Calibri"/>
          <w:color w:val="000000" w:themeColor="text1"/>
          <w:sz w:val="24"/>
          <w:szCs w:val="24"/>
        </w:rPr>
      </w:pPr>
    </w:p>
    <w:p w14:paraId="753CEFA5" w14:textId="7DD18C5E" w:rsidR="00721544" w:rsidRPr="00630CF2" w:rsidRDefault="00721544" w:rsidP="00D408FE">
      <w:pPr>
        <w:rPr>
          <w:rFonts w:ascii="Calibri" w:hAnsi="Calibri"/>
          <w:color w:val="000000" w:themeColor="text1"/>
          <w:sz w:val="24"/>
          <w:szCs w:val="24"/>
        </w:rPr>
      </w:pPr>
    </w:p>
    <w:p w14:paraId="3931FFCA" w14:textId="45E4F931" w:rsidR="00D408FE" w:rsidRPr="00630CF2" w:rsidRDefault="00721544" w:rsidP="00D408FE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630CF2">
        <w:rPr>
          <w:rFonts w:ascii="Calibri" w:hAnsi="Calibri"/>
          <w:b/>
          <w:color w:val="000000" w:themeColor="text1"/>
          <w:sz w:val="24"/>
          <w:szCs w:val="24"/>
        </w:rPr>
        <w:t>7. Apresentação</w:t>
      </w:r>
      <w:r w:rsidR="00D408FE" w:rsidRPr="00630CF2">
        <w:rPr>
          <w:rFonts w:ascii="Calibri" w:hAnsi="Calibri"/>
          <w:b/>
          <w:color w:val="000000" w:themeColor="text1"/>
          <w:sz w:val="24"/>
          <w:szCs w:val="24"/>
        </w:rPr>
        <w:t xml:space="preserve"> de propostas</w:t>
      </w:r>
    </w:p>
    <w:p w14:paraId="4E2ECAB0" w14:textId="5B463E52" w:rsidR="00D408FE" w:rsidRPr="00630CF2" w:rsidRDefault="00D408FE" w:rsidP="00D408FE">
      <w:pPr>
        <w:rPr>
          <w:rFonts w:ascii="Calibri" w:hAnsi="Calibri"/>
          <w:color w:val="000000" w:themeColor="text1"/>
          <w:sz w:val="24"/>
          <w:szCs w:val="24"/>
        </w:rPr>
      </w:pPr>
      <w:r w:rsidRPr="00630CF2">
        <w:rPr>
          <w:rFonts w:ascii="Calibri" w:hAnsi="Calibri"/>
          <w:color w:val="000000" w:themeColor="text1"/>
          <w:sz w:val="24"/>
          <w:szCs w:val="24"/>
        </w:rPr>
        <w:t>A proposta deve ser enviada eletronicamente ao Sr. Sergio Sitoe, pelo e-ma</w:t>
      </w:r>
      <w:r w:rsidR="00721544" w:rsidRPr="00630CF2">
        <w:rPr>
          <w:rFonts w:ascii="Calibri" w:hAnsi="Calibri"/>
          <w:color w:val="000000" w:themeColor="text1"/>
          <w:sz w:val="24"/>
          <w:szCs w:val="24"/>
        </w:rPr>
        <w:t>il sbsitoe69@yahoo.com.br, durante as horas normais de expediente do 17 de F</w:t>
      </w:r>
      <w:r w:rsidRPr="00630CF2">
        <w:rPr>
          <w:rFonts w:ascii="Calibri" w:hAnsi="Calibri"/>
          <w:color w:val="000000" w:themeColor="text1"/>
          <w:sz w:val="24"/>
          <w:szCs w:val="24"/>
        </w:rPr>
        <w:t>evereiro de 2020.</w:t>
      </w:r>
    </w:p>
    <w:p w14:paraId="7422A7C3" w14:textId="77777777" w:rsidR="00D408FE" w:rsidRPr="00630CF2" w:rsidRDefault="00D408FE" w:rsidP="00D408FE">
      <w:pPr>
        <w:rPr>
          <w:rFonts w:ascii="Calibri" w:hAnsi="Calibri"/>
          <w:color w:val="000000" w:themeColor="text1"/>
          <w:sz w:val="24"/>
          <w:szCs w:val="24"/>
        </w:rPr>
      </w:pPr>
      <w:r w:rsidRPr="00630CF2">
        <w:rPr>
          <w:rFonts w:ascii="Calibri" w:hAnsi="Calibri"/>
          <w:color w:val="000000" w:themeColor="text1"/>
          <w:sz w:val="24"/>
          <w:szCs w:val="24"/>
        </w:rPr>
        <w:t>O envio da proposta deve incluir as propostas técnicas e financeiras:</w:t>
      </w:r>
    </w:p>
    <w:p w14:paraId="708ADE45" w14:textId="77777777" w:rsidR="00D408FE" w:rsidRPr="00630CF2" w:rsidRDefault="00D408FE" w:rsidP="00D408FE">
      <w:pPr>
        <w:rPr>
          <w:rFonts w:ascii="Calibri" w:hAnsi="Calibri"/>
          <w:color w:val="000000" w:themeColor="text1"/>
          <w:sz w:val="24"/>
          <w:szCs w:val="24"/>
        </w:rPr>
      </w:pPr>
      <w:r w:rsidRPr="00630CF2">
        <w:rPr>
          <w:rFonts w:ascii="Calibri" w:hAnsi="Calibri"/>
          <w:color w:val="000000" w:themeColor="text1"/>
          <w:sz w:val="24"/>
          <w:szCs w:val="24"/>
        </w:rPr>
        <w:t>1) Uma proposta técnica com</w:t>
      </w:r>
    </w:p>
    <w:p w14:paraId="1A7DF5C7" w14:textId="71E7EA63" w:rsidR="00D408FE" w:rsidRPr="00630CF2" w:rsidRDefault="00D408FE" w:rsidP="009B6E02">
      <w:pPr>
        <w:pStyle w:val="ListParagraph"/>
        <w:numPr>
          <w:ilvl w:val="0"/>
          <w:numId w:val="36"/>
        </w:numPr>
        <w:rPr>
          <w:rFonts w:ascii="Calibri" w:hAnsi="Calibri"/>
          <w:i/>
          <w:color w:val="000000" w:themeColor="text1"/>
          <w:szCs w:val="24"/>
        </w:rPr>
      </w:pPr>
      <w:r w:rsidRPr="00630CF2">
        <w:rPr>
          <w:rFonts w:ascii="Calibri" w:hAnsi="Calibri"/>
          <w:i/>
          <w:color w:val="000000" w:themeColor="text1"/>
          <w:szCs w:val="24"/>
        </w:rPr>
        <w:t>Abordagem e metodologia propostas</w:t>
      </w:r>
    </w:p>
    <w:p w14:paraId="6D4A9EBE" w14:textId="6917D3E5" w:rsidR="00D408FE" w:rsidRPr="00630CF2" w:rsidRDefault="00D408FE" w:rsidP="009B6E02">
      <w:pPr>
        <w:pStyle w:val="ListParagraph"/>
        <w:numPr>
          <w:ilvl w:val="0"/>
          <w:numId w:val="36"/>
        </w:numPr>
        <w:rPr>
          <w:rFonts w:ascii="Calibri" w:hAnsi="Calibri"/>
          <w:i/>
          <w:color w:val="000000" w:themeColor="text1"/>
          <w:szCs w:val="24"/>
        </w:rPr>
      </w:pPr>
      <w:r w:rsidRPr="00630CF2">
        <w:rPr>
          <w:rFonts w:ascii="Calibri" w:hAnsi="Calibri"/>
          <w:i/>
          <w:color w:val="000000" w:themeColor="text1"/>
          <w:szCs w:val="24"/>
        </w:rPr>
        <w:t>CV e resumo das qualificações</w:t>
      </w:r>
    </w:p>
    <w:p w14:paraId="62B8DBDA" w14:textId="5228E2D0" w:rsidR="00D408FE" w:rsidRPr="00630CF2" w:rsidRDefault="00721544" w:rsidP="009B6E02">
      <w:pPr>
        <w:pStyle w:val="ListParagraph"/>
        <w:numPr>
          <w:ilvl w:val="0"/>
          <w:numId w:val="36"/>
        </w:numPr>
        <w:rPr>
          <w:rFonts w:ascii="Calibri" w:hAnsi="Calibri"/>
          <w:i/>
          <w:color w:val="000000" w:themeColor="text1"/>
          <w:szCs w:val="24"/>
        </w:rPr>
      </w:pPr>
      <w:r w:rsidRPr="00630CF2">
        <w:rPr>
          <w:rFonts w:ascii="Calibri" w:hAnsi="Calibri"/>
          <w:i/>
          <w:color w:val="000000" w:themeColor="text1"/>
          <w:szCs w:val="24"/>
        </w:rPr>
        <w:t>R</w:t>
      </w:r>
      <w:r w:rsidR="00D408FE" w:rsidRPr="00630CF2">
        <w:rPr>
          <w:rFonts w:ascii="Calibri" w:hAnsi="Calibri"/>
          <w:i/>
          <w:color w:val="000000" w:themeColor="text1"/>
          <w:szCs w:val="24"/>
        </w:rPr>
        <w:t>esumo de experiência semelhante</w:t>
      </w:r>
      <w:r w:rsidRPr="00630CF2">
        <w:rPr>
          <w:rFonts w:ascii="Calibri" w:hAnsi="Calibri"/>
          <w:i/>
          <w:color w:val="000000" w:themeColor="text1"/>
          <w:szCs w:val="24"/>
        </w:rPr>
        <w:t xml:space="preserve"> comprovada</w:t>
      </w:r>
    </w:p>
    <w:p w14:paraId="68D72BB6" w14:textId="0592319D" w:rsidR="00D408FE" w:rsidRPr="00630CF2" w:rsidRDefault="00D408FE" w:rsidP="009B6E02">
      <w:pPr>
        <w:pStyle w:val="ListParagraph"/>
        <w:numPr>
          <w:ilvl w:val="0"/>
          <w:numId w:val="36"/>
        </w:numPr>
        <w:rPr>
          <w:rFonts w:ascii="Calibri" w:hAnsi="Calibri"/>
          <w:i/>
          <w:color w:val="000000" w:themeColor="text1"/>
          <w:szCs w:val="24"/>
        </w:rPr>
      </w:pPr>
      <w:r w:rsidRPr="00630CF2">
        <w:rPr>
          <w:rFonts w:ascii="Calibri" w:hAnsi="Calibri"/>
          <w:i/>
          <w:color w:val="000000" w:themeColor="text1"/>
          <w:szCs w:val="24"/>
        </w:rPr>
        <w:t>Cronogramas (plano de trabalho)</w:t>
      </w:r>
    </w:p>
    <w:p w14:paraId="21B4C614" w14:textId="63C02041" w:rsidR="00D408FE" w:rsidRPr="00630CF2" w:rsidRDefault="00D408FE" w:rsidP="009B6E02">
      <w:pPr>
        <w:pStyle w:val="ListParagraph"/>
        <w:numPr>
          <w:ilvl w:val="0"/>
          <w:numId w:val="36"/>
        </w:numPr>
        <w:rPr>
          <w:rFonts w:ascii="Calibri" w:hAnsi="Calibri"/>
          <w:i/>
          <w:color w:val="000000" w:themeColor="text1"/>
          <w:szCs w:val="24"/>
        </w:rPr>
      </w:pPr>
      <w:r w:rsidRPr="00630CF2">
        <w:rPr>
          <w:rFonts w:ascii="Calibri" w:hAnsi="Calibri"/>
          <w:i/>
          <w:color w:val="000000" w:themeColor="text1"/>
          <w:szCs w:val="24"/>
        </w:rPr>
        <w:t>Proposta financeira com custos (incluindo</w:t>
      </w:r>
      <w:r w:rsidR="00630CF2">
        <w:rPr>
          <w:rFonts w:ascii="Calibri" w:hAnsi="Calibri"/>
          <w:i/>
          <w:color w:val="000000" w:themeColor="text1"/>
          <w:szCs w:val="24"/>
        </w:rPr>
        <w:t xml:space="preserve"> custos de</w:t>
      </w:r>
      <w:r w:rsidRPr="00630CF2">
        <w:rPr>
          <w:rFonts w:ascii="Calibri" w:hAnsi="Calibri"/>
          <w:i/>
          <w:color w:val="000000" w:themeColor="text1"/>
          <w:szCs w:val="24"/>
        </w:rPr>
        <w:t xml:space="preserve"> </w:t>
      </w:r>
      <w:r w:rsidR="00721544" w:rsidRPr="00630CF2">
        <w:rPr>
          <w:rFonts w:ascii="Calibri" w:hAnsi="Calibri"/>
          <w:i/>
          <w:color w:val="000000" w:themeColor="text1"/>
          <w:szCs w:val="24"/>
        </w:rPr>
        <w:t>viagens</w:t>
      </w:r>
      <w:r w:rsidRPr="00630CF2">
        <w:rPr>
          <w:rFonts w:ascii="Calibri" w:hAnsi="Calibri"/>
          <w:i/>
          <w:color w:val="000000" w:themeColor="text1"/>
          <w:szCs w:val="24"/>
        </w:rPr>
        <w:t>)</w:t>
      </w:r>
    </w:p>
    <w:sectPr w:rsidR="00D408FE" w:rsidRPr="00630CF2" w:rsidSect="0059274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E1BC" w14:textId="77777777" w:rsidR="006226AE" w:rsidRDefault="006226AE" w:rsidP="000F6C82">
      <w:pPr>
        <w:spacing w:after="0" w:line="240" w:lineRule="auto"/>
      </w:pPr>
      <w:r>
        <w:separator/>
      </w:r>
    </w:p>
  </w:endnote>
  <w:endnote w:type="continuationSeparator" w:id="0">
    <w:p w14:paraId="30E8724F" w14:textId="77777777" w:rsidR="006226AE" w:rsidRDefault="006226AE" w:rsidP="000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961"/>
      <w:gridCol w:w="3295"/>
    </w:tblGrid>
    <w:tr w:rsidR="006F3BAB" w14:paraId="0252C66E" w14:textId="77777777" w:rsidTr="001F253F">
      <w:tc>
        <w:tcPr>
          <w:tcW w:w="3220" w:type="pct"/>
          <w:shd w:val="clear" w:color="auto" w:fill="4F81BD" w:themeFill="accent1"/>
          <w:vAlign w:val="center"/>
        </w:tcPr>
        <w:p w14:paraId="6C899BD1" w14:textId="09DD6A61" w:rsidR="006F3BAB" w:rsidRPr="001F253F" w:rsidRDefault="006226AE" w:rsidP="00A020DE">
          <w:pPr>
            <w:pStyle w:val="Footer"/>
            <w:spacing w:before="80" w:after="80"/>
            <w:jc w:val="both"/>
            <w:rPr>
              <w:rFonts w:ascii="Times New Roman" w:hAnsi="Times New Roman" w:cs="Times New Roman"/>
              <w:b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3BAB">
                <w:rPr>
                  <w:rFonts w:ascii="Times New Roman" w:hAnsi="Times New Roman" w:cs="Times New Roman"/>
                  <w:b/>
                  <w:color w:val="FFFFFF" w:themeColor="background1"/>
                  <w:sz w:val="18"/>
                  <w:szCs w:val="18"/>
                </w:rPr>
                <w:t>Consult</w:t>
              </w:r>
              <w:r w:rsidR="00B73D2C">
                <w:rPr>
                  <w:rFonts w:ascii="Times New Roman" w:hAnsi="Times New Roman" w:cs="Times New Roman"/>
                  <w:b/>
                  <w:color w:val="FFFFFF" w:themeColor="background1"/>
                  <w:sz w:val="18"/>
                  <w:szCs w:val="18"/>
                </w:rPr>
                <w:t>oria para a elaboração de directrizes de gestão financeira</w:t>
              </w:r>
            </w:sdtContent>
          </w:sdt>
        </w:p>
      </w:tc>
      <w:tc>
        <w:tcPr>
          <w:tcW w:w="1780" w:type="pct"/>
          <w:shd w:val="clear" w:color="auto" w:fill="4F81BD" w:themeFill="accent1"/>
          <w:vAlign w:val="center"/>
        </w:tcPr>
        <w:p w14:paraId="762B9DD4" w14:textId="77777777" w:rsidR="006F3BAB" w:rsidRDefault="006F3BAB" w:rsidP="001F253F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C93198A" w14:textId="77777777" w:rsidR="006F3BAB" w:rsidRDefault="006F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1CAB" w14:textId="77777777" w:rsidR="006226AE" w:rsidRDefault="006226AE" w:rsidP="000F6C82">
      <w:pPr>
        <w:spacing w:after="0" w:line="240" w:lineRule="auto"/>
      </w:pPr>
      <w:r>
        <w:separator/>
      </w:r>
    </w:p>
  </w:footnote>
  <w:footnote w:type="continuationSeparator" w:id="0">
    <w:p w14:paraId="5149A4DB" w14:textId="77777777" w:rsidR="006226AE" w:rsidRDefault="006226AE" w:rsidP="000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FBCB" w14:textId="389364B1" w:rsidR="006F3BAB" w:rsidRPr="004F20F4" w:rsidRDefault="006226AE" w:rsidP="004F20F4">
    <w:pPr>
      <w:jc w:val="center"/>
      <w:rPr>
        <w:rFonts w:ascii="Arial" w:hAnsi="Arial" w:cs="Arial"/>
        <w:b/>
      </w:rPr>
    </w:pPr>
    <w:sdt>
      <w:sdtPr>
        <w:rPr>
          <w:rFonts w:ascii="Arial" w:hAnsi="Arial" w:cs="Arial"/>
          <w:b/>
        </w:rPr>
        <w:id w:val="-850176562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6FF9567B">
            <v:rect id="Rectangle 2" o:spid="_x0000_s2049" style="position:absolute;left:0;text-align:left;margin-left:13.4pt;margin-top:0;width:64.6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" o:allowincell="f" stroked="f">
              <v:textbox style="mso-fit-shape-to-text:t" inset="0,,0">
                <w:txbxContent>
                  <w:p w14:paraId="256AED22" w14:textId="77777777" w:rsidR="006F3BAB" w:rsidRDefault="006F3BA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2337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F20F4">
      <w:rPr>
        <w:noProof/>
      </w:rPr>
      <w:drawing>
        <wp:inline distT="0" distB="0" distL="0" distR="0" wp14:anchorId="480449CE" wp14:editId="679032E2">
          <wp:extent cx="2286000" cy="535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chemonic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3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0F4">
      <w:rPr>
        <w:rFonts w:ascii="Arial" w:hAnsi="Arial" w:cs="Arial"/>
        <w:b/>
      </w:rPr>
      <w:t xml:space="preserve">        </w:t>
    </w:r>
    <w:r w:rsidR="006F3BAB">
      <w:rPr>
        <w:rFonts w:ascii="Arial" w:hAnsi="Arial" w:cs="Arial"/>
        <w:b/>
        <w:noProof/>
      </w:rPr>
      <w:drawing>
        <wp:inline distT="0" distB="0" distL="0" distR="0" wp14:anchorId="1A5A89CC" wp14:editId="1E650B30">
          <wp:extent cx="209740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6FF"/>
    <w:multiLevelType w:val="hybridMultilevel"/>
    <w:tmpl w:val="8504514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23E"/>
    <w:multiLevelType w:val="hybridMultilevel"/>
    <w:tmpl w:val="C1C081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C430F"/>
    <w:multiLevelType w:val="hybridMultilevel"/>
    <w:tmpl w:val="C952FFA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DA0"/>
    <w:multiLevelType w:val="hybridMultilevel"/>
    <w:tmpl w:val="83108F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13D77"/>
    <w:multiLevelType w:val="hybridMultilevel"/>
    <w:tmpl w:val="9C445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75F2"/>
    <w:multiLevelType w:val="multilevel"/>
    <w:tmpl w:val="9F6EE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C4DE9"/>
    <w:multiLevelType w:val="hybridMultilevel"/>
    <w:tmpl w:val="52089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43E78"/>
    <w:multiLevelType w:val="hybridMultilevel"/>
    <w:tmpl w:val="858E2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111"/>
    <w:multiLevelType w:val="hybridMultilevel"/>
    <w:tmpl w:val="1584B0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5258E9"/>
    <w:multiLevelType w:val="hybridMultilevel"/>
    <w:tmpl w:val="52E6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1A3A"/>
    <w:multiLevelType w:val="hybridMultilevel"/>
    <w:tmpl w:val="C9F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7819"/>
    <w:multiLevelType w:val="hybridMultilevel"/>
    <w:tmpl w:val="3578A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E6267"/>
    <w:multiLevelType w:val="hybridMultilevel"/>
    <w:tmpl w:val="8C32D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F19D2"/>
    <w:multiLevelType w:val="hybridMultilevel"/>
    <w:tmpl w:val="3D44B930"/>
    <w:lvl w:ilvl="0" w:tplc="57363A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03973"/>
    <w:multiLevelType w:val="hybridMultilevel"/>
    <w:tmpl w:val="2F66B8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25E16B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50CF"/>
    <w:multiLevelType w:val="hybridMultilevel"/>
    <w:tmpl w:val="CC846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3717F"/>
    <w:multiLevelType w:val="hybridMultilevel"/>
    <w:tmpl w:val="DCF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502B"/>
    <w:multiLevelType w:val="hybridMultilevel"/>
    <w:tmpl w:val="9A82D6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2465"/>
    <w:multiLevelType w:val="hybridMultilevel"/>
    <w:tmpl w:val="0A4A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111"/>
    <w:multiLevelType w:val="hybridMultilevel"/>
    <w:tmpl w:val="04DA62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80DAD"/>
    <w:multiLevelType w:val="hybridMultilevel"/>
    <w:tmpl w:val="D09EF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30662"/>
    <w:multiLevelType w:val="hybridMultilevel"/>
    <w:tmpl w:val="134C97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664B"/>
    <w:multiLevelType w:val="hybridMultilevel"/>
    <w:tmpl w:val="35566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24BF1"/>
    <w:multiLevelType w:val="hybridMultilevel"/>
    <w:tmpl w:val="3DF06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135C5"/>
    <w:multiLevelType w:val="hybridMultilevel"/>
    <w:tmpl w:val="E4B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44830"/>
    <w:multiLevelType w:val="hybridMultilevel"/>
    <w:tmpl w:val="80A8389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71144"/>
    <w:multiLevelType w:val="hybridMultilevel"/>
    <w:tmpl w:val="2C808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26150"/>
    <w:multiLevelType w:val="hybridMultilevel"/>
    <w:tmpl w:val="214E0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15E6A"/>
    <w:multiLevelType w:val="hybridMultilevel"/>
    <w:tmpl w:val="898EB5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BD2E6C"/>
    <w:multiLevelType w:val="hybridMultilevel"/>
    <w:tmpl w:val="DB260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92250"/>
    <w:multiLevelType w:val="hybridMultilevel"/>
    <w:tmpl w:val="0666D1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220D8"/>
    <w:multiLevelType w:val="hybridMultilevel"/>
    <w:tmpl w:val="890E451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03266"/>
    <w:multiLevelType w:val="hybridMultilevel"/>
    <w:tmpl w:val="6A3604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A2687"/>
    <w:multiLevelType w:val="hybridMultilevel"/>
    <w:tmpl w:val="65B2C2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517"/>
    <w:multiLevelType w:val="hybridMultilevel"/>
    <w:tmpl w:val="B2281E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2F4"/>
    <w:multiLevelType w:val="hybridMultilevel"/>
    <w:tmpl w:val="BCB2875A"/>
    <w:lvl w:ilvl="0" w:tplc="11D6B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1"/>
  </w:num>
  <w:num w:numId="5">
    <w:abstractNumId w:val="28"/>
  </w:num>
  <w:num w:numId="6">
    <w:abstractNumId w:val="8"/>
  </w:num>
  <w:num w:numId="7">
    <w:abstractNumId w:val="21"/>
  </w:num>
  <w:num w:numId="8">
    <w:abstractNumId w:val="31"/>
  </w:num>
  <w:num w:numId="9">
    <w:abstractNumId w:val="14"/>
  </w:num>
  <w:num w:numId="10">
    <w:abstractNumId w:val="12"/>
  </w:num>
  <w:num w:numId="11">
    <w:abstractNumId w:val="23"/>
  </w:num>
  <w:num w:numId="12">
    <w:abstractNumId w:val="30"/>
  </w:num>
  <w:num w:numId="13">
    <w:abstractNumId w:val="32"/>
  </w:num>
  <w:num w:numId="14">
    <w:abstractNumId w:val="22"/>
  </w:num>
  <w:num w:numId="15">
    <w:abstractNumId w:val="29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10"/>
  </w:num>
  <w:num w:numId="21">
    <w:abstractNumId w:val="33"/>
  </w:num>
  <w:num w:numId="22">
    <w:abstractNumId w:val="5"/>
  </w:num>
  <w:num w:numId="23">
    <w:abstractNumId w:val="18"/>
  </w:num>
  <w:num w:numId="24">
    <w:abstractNumId w:val="0"/>
  </w:num>
  <w:num w:numId="25">
    <w:abstractNumId w:val="26"/>
  </w:num>
  <w:num w:numId="26">
    <w:abstractNumId w:val="34"/>
  </w:num>
  <w:num w:numId="27">
    <w:abstractNumId w:val="2"/>
  </w:num>
  <w:num w:numId="28">
    <w:abstractNumId w:val="27"/>
  </w:num>
  <w:num w:numId="29">
    <w:abstractNumId w:val="19"/>
  </w:num>
  <w:num w:numId="30">
    <w:abstractNumId w:val="3"/>
  </w:num>
  <w:num w:numId="31">
    <w:abstractNumId w:val="25"/>
  </w:num>
  <w:num w:numId="32">
    <w:abstractNumId w:val="35"/>
  </w:num>
  <w:num w:numId="33">
    <w:abstractNumId w:val="4"/>
  </w:num>
  <w:num w:numId="34">
    <w:abstractNumId w:val="7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EEB"/>
    <w:rsid w:val="0000427D"/>
    <w:rsid w:val="000048DD"/>
    <w:rsid w:val="000055A0"/>
    <w:rsid w:val="0001511F"/>
    <w:rsid w:val="00023253"/>
    <w:rsid w:val="00023EF9"/>
    <w:rsid w:val="00024D84"/>
    <w:rsid w:val="0002730C"/>
    <w:rsid w:val="0004044A"/>
    <w:rsid w:val="00045980"/>
    <w:rsid w:val="00051BC2"/>
    <w:rsid w:val="00052C21"/>
    <w:rsid w:val="00060DD8"/>
    <w:rsid w:val="00062C9C"/>
    <w:rsid w:val="0006360E"/>
    <w:rsid w:val="00072EA7"/>
    <w:rsid w:val="0008629C"/>
    <w:rsid w:val="000909C5"/>
    <w:rsid w:val="000968AC"/>
    <w:rsid w:val="000B5F5A"/>
    <w:rsid w:val="000C2D4A"/>
    <w:rsid w:val="000C7155"/>
    <w:rsid w:val="000C7F84"/>
    <w:rsid w:val="000F6C82"/>
    <w:rsid w:val="000F7B83"/>
    <w:rsid w:val="0011290C"/>
    <w:rsid w:val="00112C24"/>
    <w:rsid w:val="00113073"/>
    <w:rsid w:val="0013461B"/>
    <w:rsid w:val="00137D64"/>
    <w:rsid w:val="00141089"/>
    <w:rsid w:val="00150724"/>
    <w:rsid w:val="001510CA"/>
    <w:rsid w:val="001528C0"/>
    <w:rsid w:val="00153E66"/>
    <w:rsid w:val="001606E5"/>
    <w:rsid w:val="00167D59"/>
    <w:rsid w:val="0017673F"/>
    <w:rsid w:val="001D3A26"/>
    <w:rsid w:val="001D3A52"/>
    <w:rsid w:val="001E5CE4"/>
    <w:rsid w:val="001E7425"/>
    <w:rsid w:val="001F253F"/>
    <w:rsid w:val="001F4272"/>
    <w:rsid w:val="001F6AEE"/>
    <w:rsid w:val="00216FA2"/>
    <w:rsid w:val="0022634B"/>
    <w:rsid w:val="0022637C"/>
    <w:rsid w:val="00231E8E"/>
    <w:rsid w:val="002365ED"/>
    <w:rsid w:val="00236DCF"/>
    <w:rsid w:val="00241FD6"/>
    <w:rsid w:val="00242F54"/>
    <w:rsid w:val="00246275"/>
    <w:rsid w:val="00247FB0"/>
    <w:rsid w:val="00253628"/>
    <w:rsid w:val="00255030"/>
    <w:rsid w:val="00255397"/>
    <w:rsid w:val="00282C6F"/>
    <w:rsid w:val="00291293"/>
    <w:rsid w:val="002915E5"/>
    <w:rsid w:val="002A496E"/>
    <w:rsid w:val="002B3F84"/>
    <w:rsid w:val="002B460C"/>
    <w:rsid w:val="002C1C00"/>
    <w:rsid w:val="002F0284"/>
    <w:rsid w:val="002F734A"/>
    <w:rsid w:val="003025BB"/>
    <w:rsid w:val="0030535B"/>
    <w:rsid w:val="00314488"/>
    <w:rsid w:val="0033279C"/>
    <w:rsid w:val="003539B7"/>
    <w:rsid w:val="00372E98"/>
    <w:rsid w:val="00373BBB"/>
    <w:rsid w:val="00385E97"/>
    <w:rsid w:val="003866E9"/>
    <w:rsid w:val="0038769D"/>
    <w:rsid w:val="003A4BE4"/>
    <w:rsid w:val="003A7062"/>
    <w:rsid w:val="003A7B45"/>
    <w:rsid w:val="003B4E82"/>
    <w:rsid w:val="003B6C8B"/>
    <w:rsid w:val="003C28DD"/>
    <w:rsid w:val="003C5BC9"/>
    <w:rsid w:val="003D1A90"/>
    <w:rsid w:val="003D4345"/>
    <w:rsid w:val="003D5942"/>
    <w:rsid w:val="003D6285"/>
    <w:rsid w:val="003E1968"/>
    <w:rsid w:val="003F7CA5"/>
    <w:rsid w:val="00402041"/>
    <w:rsid w:val="00402AF2"/>
    <w:rsid w:val="00405B4D"/>
    <w:rsid w:val="0041299C"/>
    <w:rsid w:val="00416773"/>
    <w:rsid w:val="00420E40"/>
    <w:rsid w:val="0042192E"/>
    <w:rsid w:val="00422572"/>
    <w:rsid w:val="00422918"/>
    <w:rsid w:val="00423370"/>
    <w:rsid w:val="00430295"/>
    <w:rsid w:val="00430D79"/>
    <w:rsid w:val="0043578B"/>
    <w:rsid w:val="00445E33"/>
    <w:rsid w:val="0046144C"/>
    <w:rsid w:val="00462269"/>
    <w:rsid w:val="00472151"/>
    <w:rsid w:val="004A1321"/>
    <w:rsid w:val="004A4C76"/>
    <w:rsid w:val="004B20FD"/>
    <w:rsid w:val="004B7DAF"/>
    <w:rsid w:val="004C5EEB"/>
    <w:rsid w:val="004C5FD9"/>
    <w:rsid w:val="004C70DA"/>
    <w:rsid w:val="004D652B"/>
    <w:rsid w:val="004E71C0"/>
    <w:rsid w:val="004F20F4"/>
    <w:rsid w:val="0050228E"/>
    <w:rsid w:val="00502BCB"/>
    <w:rsid w:val="00503E00"/>
    <w:rsid w:val="005125D7"/>
    <w:rsid w:val="00522D6F"/>
    <w:rsid w:val="00536F9E"/>
    <w:rsid w:val="00542CD8"/>
    <w:rsid w:val="0055280C"/>
    <w:rsid w:val="005528F1"/>
    <w:rsid w:val="005539AF"/>
    <w:rsid w:val="005551F6"/>
    <w:rsid w:val="005551F8"/>
    <w:rsid w:val="00571060"/>
    <w:rsid w:val="00572FF3"/>
    <w:rsid w:val="00577B31"/>
    <w:rsid w:val="00580A31"/>
    <w:rsid w:val="005910FD"/>
    <w:rsid w:val="00592749"/>
    <w:rsid w:val="005B37E7"/>
    <w:rsid w:val="005D1645"/>
    <w:rsid w:val="005D6B60"/>
    <w:rsid w:val="005E3847"/>
    <w:rsid w:val="005F0F48"/>
    <w:rsid w:val="0060540E"/>
    <w:rsid w:val="00611204"/>
    <w:rsid w:val="00612A5F"/>
    <w:rsid w:val="00616C86"/>
    <w:rsid w:val="00621ACE"/>
    <w:rsid w:val="006226AE"/>
    <w:rsid w:val="00630CF2"/>
    <w:rsid w:val="00651B30"/>
    <w:rsid w:val="006530B5"/>
    <w:rsid w:val="00656B2B"/>
    <w:rsid w:val="00661752"/>
    <w:rsid w:val="006617D3"/>
    <w:rsid w:val="006658C6"/>
    <w:rsid w:val="00665986"/>
    <w:rsid w:val="006668E1"/>
    <w:rsid w:val="0067486F"/>
    <w:rsid w:val="006829B7"/>
    <w:rsid w:val="00683F5D"/>
    <w:rsid w:val="00694DDC"/>
    <w:rsid w:val="006A0130"/>
    <w:rsid w:val="006A6DF3"/>
    <w:rsid w:val="006B07D0"/>
    <w:rsid w:val="006B603F"/>
    <w:rsid w:val="006C3D66"/>
    <w:rsid w:val="006C4A06"/>
    <w:rsid w:val="006D3565"/>
    <w:rsid w:val="006D73D1"/>
    <w:rsid w:val="006E64B3"/>
    <w:rsid w:val="006F288D"/>
    <w:rsid w:val="006F3BAB"/>
    <w:rsid w:val="006F5114"/>
    <w:rsid w:val="0071401A"/>
    <w:rsid w:val="00721065"/>
    <w:rsid w:val="00721544"/>
    <w:rsid w:val="0072343F"/>
    <w:rsid w:val="00730694"/>
    <w:rsid w:val="00731C08"/>
    <w:rsid w:val="007365C3"/>
    <w:rsid w:val="00736F9D"/>
    <w:rsid w:val="00742403"/>
    <w:rsid w:val="007570B3"/>
    <w:rsid w:val="00761D5E"/>
    <w:rsid w:val="00763934"/>
    <w:rsid w:val="00765B05"/>
    <w:rsid w:val="00771E21"/>
    <w:rsid w:val="0077434B"/>
    <w:rsid w:val="00774CF2"/>
    <w:rsid w:val="00784F29"/>
    <w:rsid w:val="00785A49"/>
    <w:rsid w:val="007902D1"/>
    <w:rsid w:val="007B7B25"/>
    <w:rsid w:val="007C319C"/>
    <w:rsid w:val="007D099D"/>
    <w:rsid w:val="007D150D"/>
    <w:rsid w:val="007D2CAB"/>
    <w:rsid w:val="007D7368"/>
    <w:rsid w:val="007E1582"/>
    <w:rsid w:val="007E2005"/>
    <w:rsid w:val="007F02F7"/>
    <w:rsid w:val="008150C4"/>
    <w:rsid w:val="0081727F"/>
    <w:rsid w:val="00847903"/>
    <w:rsid w:val="00854009"/>
    <w:rsid w:val="00855DAE"/>
    <w:rsid w:val="00856758"/>
    <w:rsid w:val="0086344F"/>
    <w:rsid w:val="0087430D"/>
    <w:rsid w:val="0087478B"/>
    <w:rsid w:val="00876FA6"/>
    <w:rsid w:val="008808FA"/>
    <w:rsid w:val="008829C7"/>
    <w:rsid w:val="00885D3F"/>
    <w:rsid w:val="008969D6"/>
    <w:rsid w:val="008A18A7"/>
    <w:rsid w:val="008A4498"/>
    <w:rsid w:val="008A516D"/>
    <w:rsid w:val="008C144C"/>
    <w:rsid w:val="008E5D8E"/>
    <w:rsid w:val="009022B2"/>
    <w:rsid w:val="00904DA7"/>
    <w:rsid w:val="009062EB"/>
    <w:rsid w:val="00906D6C"/>
    <w:rsid w:val="00906F6D"/>
    <w:rsid w:val="00926E91"/>
    <w:rsid w:val="009336DE"/>
    <w:rsid w:val="00944092"/>
    <w:rsid w:val="00945E68"/>
    <w:rsid w:val="00953CED"/>
    <w:rsid w:val="00954C88"/>
    <w:rsid w:val="009550CB"/>
    <w:rsid w:val="00960A62"/>
    <w:rsid w:val="00966C63"/>
    <w:rsid w:val="00983FC7"/>
    <w:rsid w:val="009B6368"/>
    <w:rsid w:val="009B6D96"/>
    <w:rsid w:val="009B6E02"/>
    <w:rsid w:val="009C4DA0"/>
    <w:rsid w:val="009C58F9"/>
    <w:rsid w:val="009D07FD"/>
    <w:rsid w:val="009F43BA"/>
    <w:rsid w:val="00A020DE"/>
    <w:rsid w:val="00A2107C"/>
    <w:rsid w:val="00A35DBC"/>
    <w:rsid w:val="00A40875"/>
    <w:rsid w:val="00A41BE3"/>
    <w:rsid w:val="00A41EF2"/>
    <w:rsid w:val="00A62E4E"/>
    <w:rsid w:val="00A63656"/>
    <w:rsid w:val="00A65164"/>
    <w:rsid w:val="00A7729B"/>
    <w:rsid w:val="00A81AEC"/>
    <w:rsid w:val="00A84756"/>
    <w:rsid w:val="00A86D64"/>
    <w:rsid w:val="00A91873"/>
    <w:rsid w:val="00A961F5"/>
    <w:rsid w:val="00AA1156"/>
    <w:rsid w:val="00AA6C31"/>
    <w:rsid w:val="00AB1C7C"/>
    <w:rsid w:val="00AB66B5"/>
    <w:rsid w:val="00AC5FD9"/>
    <w:rsid w:val="00AC6C28"/>
    <w:rsid w:val="00AD4B47"/>
    <w:rsid w:val="00AF4008"/>
    <w:rsid w:val="00AF62F4"/>
    <w:rsid w:val="00AF6474"/>
    <w:rsid w:val="00B038CC"/>
    <w:rsid w:val="00B1114F"/>
    <w:rsid w:val="00B1205C"/>
    <w:rsid w:val="00B144C3"/>
    <w:rsid w:val="00B21AEF"/>
    <w:rsid w:val="00B3120F"/>
    <w:rsid w:val="00B338FE"/>
    <w:rsid w:val="00B34521"/>
    <w:rsid w:val="00B346FA"/>
    <w:rsid w:val="00B34B5B"/>
    <w:rsid w:val="00B36D0C"/>
    <w:rsid w:val="00B4315B"/>
    <w:rsid w:val="00B54565"/>
    <w:rsid w:val="00B702F4"/>
    <w:rsid w:val="00B7321F"/>
    <w:rsid w:val="00B73D2C"/>
    <w:rsid w:val="00B87927"/>
    <w:rsid w:val="00B93274"/>
    <w:rsid w:val="00BA085A"/>
    <w:rsid w:val="00BB24E1"/>
    <w:rsid w:val="00BC2AFB"/>
    <w:rsid w:val="00BC763C"/>
    <w:rsid w:val="00BC7EF2"/>
    <w:rsid w:val="00BE166D"/>
    <w:rsid w:val="00BF37F9"/>
    <w:rsid w:val="00BF6F1D"/>
    <w:rsid w:val="00C1047B"/>
    <w:rsid w:val="00C1732F"/>
    <w:rsid w:val="00C20378"/>
    <w:rsid w:val="00C26C1A"/>
    <w:rsid w:val="00C369E5"/>
    <w:rsid w:val="00C36D0D"/>
    <w:rsid w:val="00C40A92"/>
    <w:rsid w:val="00C40BE5"/>
    <w:rsid w:val="00C56526"/>
    <w:rsid w:val="00C600C1"/>
    <w:rsid w:val="00C72998"/>
    <w:rsid w:val="00C752FE"/>
    <w:rsid w:val="00C86E79"/>
    <w:rsid w:val="00CC1907"/>
    <w:rsid w:val="00CE0EE1"/>
    <w:rsid w:val="00CE525B"/>
    <w:rsid w:val="00CF2DC1"/>
    <w:rsid w:val="00CF3C26"/>
    <w:rsid w:val="00D035FD"/>
    <w:rsid w:val="00D06396"/>
    <w:rsid w:val="00D0660C"/>
    <w:rsid w:val="00D1195D"/>
    <w:rsid w:val="00D1729F"/>
    <w:rsid w:val="00D326A1"/>
    <w:rsid w:val="00D33E90"/>
    <w:rsid w:val="00D35917"/>
    <w:rsid w:val="00D408FE"/>
    <w:rsid w:val="00D4307F"/>
    <w:rsid w:val="00D45966"/>
    <w:rsid w:val="00D52DD9"/>
    <w:rsid w:val="00D530EA"/>
    <w:rsid w:val="00D648E9"/>
    <w:rsid w:val="00D70FB2"/>
    <w:rsid w:val="00E03CFB"/>
    <w:rsid w:val="00E22467"/>
    <w:rsid w:val="00E22DA4"/>
    <w:rsid w:val="00E24933"/>
    <w:rsid w:val="00E36D76"/>
    <w:rsid w:val="00E469B6"/>
    <w:rsid w:val="00E46E4F"/>
    <w:rsid w:val="00E46F00"/>
    <w:rsid w:val="00E507D5"/>
    <w:rsid w:val="00E51D10"/>
    <w:rsid w:val="00E55953"/>
    <w:rsid w:val="00E56C5D"/>
    <w:rsid w:val="00E57414"/>
    <w:rsid w:val="00E60E04"/>
    <w:rsid w:val="00E7288F"/>
    <w:rsid w:val="00E73189"/>
    <w:rsid w:val="00E77A5F"/>
    <w:rsid w:val="00E93810"/>
    <w:rsid w:val="00EA7BC7"/>
    <w:rsid w:val="00EB3D74"/>
    <w:rsid w:val="00EC4422"/>
    <w:rsid w:val="00EC6634"/>
    <w:rsid w:val="00ED0AC7"/>
    <w:rsid w:val="00ED2FDA"/>
    <w:rsid w:val="00ED490D"/>
    <w:rsid w:val="00ED5191"/>
    <w:rsid w:val="00EF34C3"/>
    <w:rsid w:val="00EF52BA"/>
    <w:rsid w:val="00EF6EE2"/>
    <w:rsid w:val="00F0277F"/>
    <w:rsid w:val="00F076A3"/>
    <w:rsid w:val="00F10E2F"/>
    <w:rsid w:val="00F177D9"/>
    <w:rsid w:val="00F2617F"/>
    <w:rsid w:val="00F36F61"/>
    <w:rsid w:val="00F43C10"/>
    <w:rsid w:val="00F45B65"/>
    <w:rsid w:val="00F47A96"/>
    <w:rsid w:val="00F51D15"/>
    <w:rsid w:val="00F5254E"/>
    <w:rsid w:val="00F54F87"/>
    <w:rsid w:val="00F616C4"/>
    <w:rsid w:val="00F64EFF"/>
    <w:rsid w:val="00F873FE"/>
    <w:rsid w:val="00FA6D80"/>
    <w:rsid w:val="00FC001F"/>
    <w:rsid w:val="00FC270B"/>
    <w:rsid w:val="00FD624E"/>
    <w:rsid w:val="00FD74B4"/>
    <w:rsid w:val="00FD78E0"/>
    <w:rsid w:val="00FE0F77"/>
    <w:rsid w:val="00FE34A8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D30120"/>
  <w15:docId w15:val="{50CE52CA-78D3-3A43-A558-C6C39C5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FF"/>
  </w:style>
  <w:style w:type="paragraph" w:styleId="Heading1">
    <w:name w:val="heading 1"/>
    <w:basedOn w:val="Normal"/>
    <w:next w:val="Normal"/>
    <w:link w:val="Heading1Char"/>
    <w:qFormat/>
    <w:rsid w:val="004C5EEB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E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C5EE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C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82"/>
  </w:style>
  <w:style w:type="paragraph" w:styleId="Footer">
    <w:name w:val="footer"/>
    <w:basedOn w:val="Normal"/>
    <w:link w:val="Foot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82"/>
  </w:style>
  <w:style w:type="paragraph" w:styleId="BalloonText">
    <w:name w:val="Balloon Text"/>
    <w:basedOn w:val="Normal"/>
    <w:link w:val="BalloonTextChar"/>
    <w:uiPriority w:val="99"/>
    <w:semiHidden/>
    <w:unhideWhenUsed/>
    <w:rsid w:val="0006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9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B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7903"/>
    <w:rPr>
      <w:i/>
      <w:iCs/>
    </w:rPr>
  </w:style>
  <w:style w:type="character" w:customStyle="1" w:styleId="inlineglossaryterm">
    <w:name w:val="inlineglossaryterm"/>
    <w:basedOn w:val="DefaultParagraphFont"/>
    <w:rsid w:val="00847903"/>
  </w:style>
  <w:style w:type="paragraph" w:styleId="FootnoteText">
    <w:name w:val="footnote text"/>
    <w:basedOn w:val="Normal"/>
    <w:link w:val="FootnoteTextChar"/>
    <w:uiPriority w:val="99"/>
    <w:semiHidden/>
    <w:unhideWhenUsed/>
    <w:rsid w:val="00150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7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724"/>
    <w:rPr>
      <w:vertAlign w:val="superscript"/>
    </w:rPr>
  </w:style>
  <w:style w:type="table" w:styleId="TableGrid">
    <w:name w:val="Table Grid"/>
    <w:basedOn w:val="TableNormal"/>
    <w:uiPriority w:val="59"/>
    <w:rsid w:val="00A6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Communications" ma:contentTypeID="0x0101008DA58B5CA681664FAB24816C56F410850900F18A83FFE76B1D45AA6C0B11936DD75C" ma:contentTypeVersion="20" ma:contentTypeDescription="Project Communications" ma:contentTypeScope="" ma:versionID="9eb9553b6438bf2556ba187a101f77e1">
  <xsd:schema xmlns:xsd="http://www.w3.org/2001/XMLSchema" xmlns:xs="http://www.w3.org/2001/XMLSchema" xmlns:p="http://schemas.microsoft.com/office/2006/metadata/properties" xmlns:ns2="8d7096d6-fc66-4344-9e3f-2445529a09f6" xmlns:ns3="5015f7a6-7559-4da9-b574-0f8dac446f61" targetNamespace="http://schemas.microsoft.com/office/2006/metadata/properties" ma:root="true" ma:fieldsID="d19f22bc4822293217f869c670f2cdb6" ns2:_="" ns3:_="">
    <xsd:import namespace="8d7096d6-fc66-4344-9e3f-2445529a09f6"/>
    <xsd:import namespace="5015f7a6-7559-4da9-b574-0f8dac446f61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22085d14-dd01-4297-bacd-b978f0d57d56}" ma:internalName="TaxCatchAll" ma:showField="CatchAllData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22085d14-dd01-4297-bacd-b978f0d57d56}" ma:internalName="TaxCatchAllLabel" ma:readOnly="true" ma:showField="CatchAllDataLabel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f7a6-7559-4da9-b574-0f8dac446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9851-C393-439B-8AA9-09D2582B1A65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2.xml><?xml version="1.0" encoding="utf-8"?>
<ds:datastoreItem xmlns:ds="http://schemas.openxmlformats.org/officeDocument/2006/customXml" ds:itemID="{7D70D0B2-1617-4757-9740-1842FD1E9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33C32-033C-454F-9676-FF7CC9BE04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CCA536-B191-4C95-A1DD-33F00F3F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5015f7a6-7559-4da9-b574-0f8dac446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4FB568-E921-1C4E-A732-DA731E79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Consultancy for development of Financial management policy guideline</vt:lpstr>
    </vt:vector>
  </TitlesOfParts>
  <Company>HP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Consultoria para a elaboração de directrizes de gestão financeira</dc:title>
  <dc:creator>Sérgio Sitoe</dc:creator>
  <cp:lastModifiedBy>Mona Khadr</cp:lastModifiedBy>
  <cp:revision>21</cp:revision>
  <dcterms:created xsi:type="dcterms:W3CDTF">2020-01-09T15:24:00Z</dcterms:created>
  <dcterms:modified xsi:type="dcterms:W3CDTF">2020-03-01T18:19:00Z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0x0101008DA58B5CA681664FAB24816C56F410850900F18A83FFE76B1D45AA6C0B11936DD75C</vt:lpwstr>
  </property>
  <property fmtid="{D5CDD505-2E9C-101B-9397-08002B2CF9AE}" pid="3" name="Project Document Type">
    <vt:lpwstr/>
  </property>
</Properties>
</file>