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1D" w:rsidRPr="00AA7CCD" w:rsidRDefault="0042462E" w:rsidP="00D77F1D">
      <w:pPr>
        <w:widowControl/>
        <w:tabs>
          <w:tab w:val="left" w:pos="360"/>
        </w:tabs>
        <w:autoSpaceDE/>
        <w:autoSpaceDN/>
        <w:spacing w:before="240" w:after="240"/>
        <w:jc w:val="center"/>
        <w:rPr>
          <w:b/>
          <w:sz w:val="22"/>
          <w:szCs w:val="22"/>
          <w:lang w:val="en-GB" w:eastAsia="en-GB"/>
        </w:rPr>
      </w:pPr>
      <w:r>
        <w:rPr>
          <w:b/>
          <w:sz w:val="22"/>
          <w:szCs w:val="22"/>
          <w:lang w:val="en-GB" w:eastAsia="en-GB"/>
        </w:rPr>
        <w:t xml:space="preserve">DECLARATION OF HONOR </w:t>
      </w:r>
      <w:r w:rsidR="00D77F1D" w:rsidRPr="00AA7CCD">
        <w:rPr>
          <w:b/>
          <w:sz w:val="22"/>
          <w:szCs w:val="22"/>
          <w:vertAlign w:val="superscript"/>
          <w:lang w:val="en-GB" w:eastAsia="en-GB"/>
        </w:rPr>
        <w:footnoteReference w:id="1"/>
      </w:r>
    </w:p>
    <w:p w:rsidR="00D77F1D" w:rsidRPr="00AA7CCD" w:rsidRDefault="00D77F1D" w:rsidP="00D77F1D">
      <w:pPr>
        <w:widowControl/>
        <w:tabs>
          <w:tab w:val="left" w:pos="360"/>
        </w:tabs>
        <w:autoSpaceDE/>
        <w:autoSpaceDN/>
        <w:spacing w:before="240" w:after="240"/>
        <w:jc w:val="center"/>
        <w:rPr>
          <w:b/>
          <w:sz w:val="22"/>
          <w:szCs w:val="22"/>
          <w:lang w:val="en-GB" w:eastAsia="en-GB"/>
        </w:rPr>
      </w:pPr>
      <w:r w:rsidRPr="00AA7CCD">
        <w:rPr>
          <w:b/>
          <w:sz w:val="22"/>
          <w:szCs w:val="22"/>
          <w:lang w:val="en-GB" w:eastAsia="en-GB"/>
        </w:rPr>
        <w:t>To be submitted on the headed notepaper of the legal entity concerned</w:t>
      </w:r>
    </w:p>
    <w:p w:rsidR="00D77F1D" w:rsidRPr="00AA7CCD" w:rsidRDefault="00D77F1D" w:rsidP="00D77F1D">
      <w:pPr>
        <w:autoSpaceDE/>
        <w:autoSpaceDN/>
        <w:spacing w:after="120"/>
        <w:jc w:val="both"/>
        <w:rPr>
          <w:sz w:val="22"/>
          <w:szCs w:val="22"/>
          <w:lang w:val="en-GB" w:eastAsia="en-GB"/>
        </w:rPr>
      </w:pPr>
      <w:r w:rsidRPr="00AA7CCD">
        <w:rPr>
          <w:sz w:val="22"/>
          <w:szCs w:val="22"/>
          <w:lang w:val="en-GB" w:eastAsia="en-GB"/>
        </w:rPr>
        <w:t>&lt;Date&gt;</w:t>
      </w:r>
    </w:p>
    <w:p w:rsidR="00D77F1D" w:rsidRPr="00AA7CCD" w:rsidRDefault="00D77F1D" w:rsidP="00D77F1D">
      <w:pPr>
        <w:autoSpaceDE/>
        <w:autoSpaceDN/>
        <w:spacing w:after="120"/>
        <w:jc w:val="both"/>
        <w:rPr>
          <w:sz w:val="22"/>
          <w:szCs w:val="22"/>
          <w:lang w:val="en-GB" w:eastAsia="en-GB"/>
        </w:rPr>
      </w:pPr>
    </w:p>
    <w:p w:rsidR="00D77F1D" w:rsidRPr="00AA7CCD" w:rsidRDefault="00D77F1D" w:rsidP="00D77F1D">
      <w:pPr>
        <w:autoSpaceDE/>
        <w:autoSpaceDN/>
        <w:spacing w:after="120"/>
        <w:outlineLvl w:val="0"/>
        <w:rPr>
          <w:sz w:val="22"/>
          <w:szCs w:val="22"/>
          <w:lang w:val="en-GB" w:eastAsia="en-GB"/>
        </w:rPr>
      </w:pPr>
      <w:r w:rsidRPr="00AA7CCD">
        <w:rPr>
          <w:sz w:val="22"/>
          <w:szCs w:val="22"/>
          <w:lang w:val="en-GB" w:eastAsia="en-GB"/>
        </w:rPr>
        <w:t>To: Southern African Development Community (SADC) Secretariat</w:t>
      </w:r>
    </w:p>
    <w:p w:rsidR="00D77F1D" w:rsidRPr="00AA7CCD" w:rsidRDefault="00D77F1D" w:rsidP="00D77F1D">
      <w:pPr>
        <w:autoSpaceDE/>
        <w:autoSpaceDN/>
        <w:spacing w:after="120"/>
        <w:outlineLvl w:val="0"/>
        <w:rPr>
          <w:sz w:val="22"/>
          <w:szCs w:val="22"/>
          <w:lang w:val="en-GB" w:eastAsia="en-GB"/>
        </w:rPr>
      </w:pPr>
      <w:r w:rsidRPr="00AA7CCD">
        <w:rPr>
          <w:sz w:val="22"/>
          <w:szCs w:val="22"/>
          <w:lang w:val="en-GB" w:eastAsia="en-GB"/>
        </w:rPr>
        <w:t>CBD Plot 54385</w:t>
      </w:r>
    </w:p>
    <w:p w:rsidR="00D77F1D" w:rsidRPr="00AA7CCD" w:rsidRDefault="00D77F1D" w:rsidP="00D77F1D">
      <w:pPr>
        <w:autoSpaceDE/>
        <w:autoSpaceDN/>
        <w:spacing w:after="120"/>
        <w:outlineLvl w:val="0"/>
        <w:rPr>
          <w:sz w:val="22"/>
          <w:szCs w:val="22"/>
          <w:lang w:val="en-GB" w:eastAsia="en-GB"/>
        </w:rPr>
      </w:pPr>
      <w:r w:rsidRPr="00AA7CCD">
        <w:rPr>
          <w:sz w:val="22"/>
          <w:szCs w:val="22"/>
          <w:lang w:val="en-GB" w:eastAsia="en-GB"/>
        </w:rPr>
        <w:t>Gaborone, Botswana</w:t>
      </w:r>
    </w:p>
    <w:p w:rsidR="00D77F1D" w:rsidRPr="00AA7CCD" w:rsidRDefault="00D77F1D" w:rsidP="00D77F1D">
      <w:pPr>
        <w:autoSpaceDE/>
        <w:autoSpaceDN/>
        <w:spacing w:after="120"/>
        <w:rPr>
          <w:sz w:val="22"/>
          <w:szCs w:val="22"/>
          <w:lang w:val="en-GB" w:eastAsia="en-GB"/>
        </w:rPr>
      </w:pPr>
    </w:p>
    <w:p w:rsidR="00D77F1D" w:rsidRPr="00AA7CCD" w:rsidRDefault="00D77F1D" w:rsidP="00D77F1D">
      <w:pPr>
        <w:autoSpaceDE/>
        <w:autoSpaceDN/>
        <w:spacing w:after="120"/>
        <w:outlineLvl w:val="0"/>
        <w:rPr>
          <w:sz w:val="22"/>
          <w:szCs w:val="22"/>
          <w:lang w:val="en-GB" w:eastAsia="en-GB"/>
        </w:rPr>
      </w:pPr>
      <w:r w:rsidRPr="00AA7CCD">
        <w:rPr>
          <w:b/>
          <w:sz w:val="22"/>
          <w:szCs w:val="22"/>
          <w:lang w:val="en-GB" w:eastAsia="en-GB"/>
        </w:rPr>
        <w:t>Your ref: &lt; Publication reference &gt;</w:t>
      </w:r>
    </w:p>
    <w:p w:rsidR="00D77F1D" w:rsidRPr="00AA7CCD" w:rsidRDefault="00D77F1D" w:rsidP="00D77F1D">
      <w:pPr>
        <w:autoSpaceDE/>
        <w:autoSpaceDN/>
        <w:spacing w:after="120"/>
        <w:rPr>
          <w:sz w:val="22"/>
          <w:szCs w:val="22"/>
          <w:lang w:val="en-GB" w:eastAsia="en-GB"/>
        </w:rPr>
      </w:pPr>
    </w:p>
    <w:p w:rsidR="00D77F1D" w:rsidRPr="00AA7CCD" w:rsidRDefault="00D77F1D" w:rsidP="00D77F1D">
      <w:pPr>
        <w:autoSpaceDE/>
        <w:autoSpaceDN/>
        <w:spacing w:after="120"/>
        <w:outlineLvl w:val="0"/>
        <w:rPr>
          <w:sz w:val="22"/>
          <w:szCs w:val="22"/>
          <w:lang w:val="en-GB" w:eastAsia="en-GB"/>
        </w:rPr>
      </w:pPr>
      <w:r w:rsidRPr="00AA7CCD">
        <w:rPr>
          <w:sz w:val="22"/>
          <w:szCs w:val="22"/>
          <w:lang w:val="en-GB" w:eastAsia="en-GB"/>
        </w:rPr>
        <w:t>Dear Sir/Madam</w:t>
      </w:r>
    </w:p>
    <w:p w:rsidR="00D77F1D" w:rsidRPr="00AA7CCD" w:rsidRDefault="00D77F1D" w:rsidP="00D77F1D">
      <w:pPr>
        <w:autoSpaceDE/>
        <w:autoSpaceDN/>
        <w:spacing w:after="120"/>
        <w:jc w:val="both"/>
        <w:rPr>
          <w:sz w:val="22"/>
          <w:szCs w:val="22"/>
          <w:lang w:val="en-GB" w:eastAsia="en-GB"/>
        </w:rPr>
      </w:pPr>
      <w:r w:rsidRPr="00AA7CCD">
        <w:rPr>
          <w:sz w:val="22"/>
          <w:szCs w:val="22"/>
          <w:lang w:val="en-GB" w:eastAsia="en-GB"/>
        </w:rPr>
        <w:t xml:space="preserve">In response to your prequalification notice &lt; Publication reference &gt;, we, &lt; Name(s) of legal entity or entities&gt;, </w:t>
      </w:r>
    </w:p>
    <w:p w:rsidR="00D77F1D" w:rsidRPr="00AA7CCD" w:rsidRDefault="00D77F1D" w:rsidP="00D77F1D">
      <w:pPr>
        <w:autoSpaceDE/>
        <w:autoSpaceDN/>
        <w:spacing w:after="120"/>
        <w:jc w:val="both"/>
        <w:rPr>
          <w:sz w:val="22"/>
          <w:szCs w:val="22"/>
          <w:lang w:val="en-GB" w:eastAsia="en-GB"/>
        </w:rPr>
      </w:pPr>
      <w:r w:rsidRPr="00AA7CCD">
        <w:rPr>
          <w:sz w:val="22"/>
          <w:szCs w:val="22"/>
          <w:lang w:val="en-GB" w:eastAsia="en-GB"/>
        </w:rPr>
        <w:t>hereby declare that we do not fall into any of the following situations:</w:t>
      </w:r>
    </w:p>
    <w:p w:rsidR="00D77F1D" w:rsidRPr="00AA7CCD" w:rsidRDefault="00D77F1D" w:rsidP="00D77F1D">
      <w:pPr>
        <w:widowControl/>
        <w:numPr>
          <w:ilvl w:val="0"/>
          <w:numId w:val="1"/>
        </w:numPr>
        <w:autoSpaceDE/>
        <w:autoSpaceDN/>
        <w:spacing w:after="120"/>
        <w:contextualSpacing/>
        <w:jc w:val="both"/>
        <w:rPr>
          <w:sz w:val="22"/>
          <w:szCs w:val="22"/>
          <w:lang w:val="en-GB" w:eastAsia="en-GB"/>
        </w:rPr>
      </w:pPr>
      <w:r w:rsidRPr="00AA7CCD">
        <w:rPr>
          <w:sz w:val="22"/>
          <w:szCs w:val="22"/>
          <w:lang w:val="en-GB" w:eastAsia="en-GB"/>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w:t>
      </w:r>
    </w:p>
    <w:p w:rsidR="00D77F1D" w:rsidRPr="00AA7CCD" w:rsidRDefault="00D77F1D" w:rsidP="00D77F1D">
      <w:pPr>
        <w:widowControl/>
        <w:numPr>
          <w:ilvl w:val="0"/>
          <w:numId w:val="1"/>
        </w:numPr>
        <w:autoSpaceDE/>
        <w:autoSpaceDN/>
        <w:spacing w:after="120"/>
        <w:contextualSpacing/>
        <w:jc w:val="both"/>
        <w:rPr>
          <w:sz w:val="22"/>
          <w:szCs w:val="22"/>
          <w:lang w:val="en-GB" w:eastAsia="en-GB"/>
        </w:rPr>
      </w:pPr>
      <w:r w:rsidRPr="00AA7CCD">
        <w:rPr>
          <w:sz w:val="22"/>
          <w:szCs w:val="22"/>
          <w:lang w:val="en-GB" w:eastAsia="en-GB"/>
        </w:rPr>
        <w:t>have been convicted of offences concerning our professional conduct by a judgment, which has the force of res judicata; (i.e. against which no appeal is possible).</w:t>
      </w:r>
    </w:p>
    <w:p w:rsidR="00D77F1D" w:rsidRPr="00AA7CCD" w:rsidRDefault="00D77F1D" w:rsidP="00D77F1D">
      <w:pPr>
        <w:widowControl/>
        <w:numPr>
          <w:ilvl w:val="0"/>
          <w:numId w:val="1"/>
        </w:numPr>
        <w:autoSpaceDE/>
        <w:autoSpaceDN/>
        <w:spacing w:after="120"/>
        <w:contextualSpacing/>
        <w:jc w:val="both"/>
        <w:rPr>
          <w:sz w:val="22"/>
          <w:szCs w:val="22"/>
          <w:lang w:val="en-GB" w:eastAsia="en-GB"/>
        </w:rPr>
      </w:pPr>
      <w:r w:rsidRPr="00AA7CCD">
        <w:rPr>
          <w:sz w:val="22"/>
          <w:szCs w:val="22"/>
          <w:lang w:val="en-GB" w:eastAsia="en-GB"/>
        </w:rPr>
        <w:t>have been declared guilty of grave professional misconduct proven by any means which Procuring Entity can justify.</w:t>
      </w:r>
    </w:p>
    <w:p w:rsidR="00D77F1D" w:rsidRPr="00AA7CCD" w:rsidRDefault="00D77F1D" w:rsidP="00D77F1D">
      <w:pPr>
        <w:widowControl/>
        <w:numPr>
          <w:ilvl w:val="0"/>
          <w:numId w:val="1"/>
        </w:numPr>
        <w:autoSpaceDE/>
        <w:autoSpaceDN/>
        <w:spacing w:after="120"/>
        <w:contextualSpacing/>
        <w:jc w:val="both"/>
        <w:rPr>
          <w:sz w:val="22"/>
          <w:szCs w:val="22"/>
          <w:lang w:val="en-GB" w:eastAsia="en-GB"/>
        </w:rPr>
      </w:pPr>
      <w:r w:rsidRPr="00AA7CCD">
        <w:rPr>
          <w:sz w:val="22"/>
          <w:szCs w:val="22"/>
          <w:lang w:val="en-GB" w:eastAsia="en-GB"/>
        </w:rPr>
        <w:t>have been the subject of a judgment which has the force of res judicata for fraud, corruption, involvement in a criminal organisation or any other illegal activity detrimental to the Procuring Entity' financial interests.</w:t>
      </w:r>
    </w:p>
    <w:p w:rsidR="00D77F1D" w:rsidRPr="00AA7CCD" w:rsidRDefault="00D77F1D" w:rsidP="00D77F1D">
      <w:pPr>
        <w:widowControl/>
        <w:numPr>
          <w:ilvl w:val="0"/>
          <w:numId w:val="1"/>
        </w:numPr>
        <w:autoSpaceDE/>
        <w:autoSpaceDN/>
        <w:spacing w:after="120"/>
        <w:contextualSpacing/>
        <w:jc w:val="both"/>
        <w:rPr>
          <w:sz w:val="22"/>
          <w:szCs w:val="22"/>
          <w:lang w:val="en-GB" w:eastAsia="en-GB"/>
        </w:rPr>
      </w:pPr>
      <w:r w:rsidRPr="00AA7CCD">
        <w:rPr>
          <w:sz w:val="22"/>
          <w:szCs w:val="22"/>
          <w:lang w:val="en-GB" w:eastAsia="en-GB"/>
        </w:rPr>
        <w:t>are being currently subject to an administrative penalty.</w:t>
      </w:r>
    </w:p>
    <w:p w:rsidR="00D77F1D" w:rsidRPr="00AA7CCD" w:rsidRDefault="00D77F1D" w:rsidP="00D77F1D">
      <w:pPr>
        <w:autoSpaceDE/>
        <w:autoSpaceDN/>
        <w:spacing w:after="120"/>
        <w:jc w:val="both"/>
        <w:rPr>
          <w:sz w:val="22"/>
          <w:szCs w:val="22"/>
          <w:lang w:val="en-GB" w:eastAsia="en-GB"/>
        </w:rPr>
      </w:pPr>
    </w:p>
    <w:p w:rsidR="00D77F1D" w:rsidRPr="00AA7CCD" w:rsidRDefault="00D77F1D" w:rsidP="00D77F1D">
      <w:pPr>
        <w:autoSpaceDE/>
        <w:autoSpaceDN/>
        <w:spacing w:after="120"/>
        <w:jc w:val="both"/>
        <w:rPr>
          <w:sz w:val="22"/>
          <w:szCs w:val="22"/>
          <w:lang w:val="en-GB" w:eastAsia="en-GB"/>
        </w:rPr>
      </w:pPr>
      <w:r w:rsidRPr="00AA7CCD">
        <w:rPr>
          <w:sz w:val="22"/>
          <w:szCs w:val="22"/>
          <w:lang w:val="en-GB" w:eastAsia="en-GB"/>
        </w:rPr>
        <w:t>We further declare that in case we get shortlisted we will provide necessary supporting documents that will prove that we do not fall into any of the above situations.</w:t>
      </w:r>
    </w:p>
    <w:p w:rsidR="00D77F1D" w:rsidRPr="00AA7CCD" w:rsidRDefault="00D77F1D" w:rsidP="00D77F1D">
      <w:pPr>
        <w:autoSpaceDE/>
        <w:autoSpaceDN/>
        <w:spacing w:after="120"/>
        <w:jc w:val="both"/>
        <w:rPr>
          <w:sz w:val="22"/>
          <w:szCs w:val="22"/>
          <w:lang w:val="en-GB" w:eastAsia="en-GB"/>
        </w:rPr>
      </w:pPr>
    </w:p>
    <w:p w:rsidR="00D77F1D" w:rsidRPr="00AA7CCD" w:rsidRDefault="00D77F1D" w:rsidP="00D77F1D">
      <w:pPr>
        <w:autoSpaceDE/>
        <w:autoSpaceDN/>
        <w:spacing w:after="120"/>
        <w:jc w:val="both"/>
        <w:rPr>
          <w:sz w:val="22"/>
          <w:szCs w:val="22"/>
          <w:lang w:val="en-GB" w:eastAsia="en-GB"/>
        </w:rPr>
      </w:pPr>
    </w:p>
    <w:p w:rsidR="00B7026C" w:rsidRDefault="00D77F1D" w:rsidP="00D77F1D">
      <w:pPr>
        <w:autoSpaceDE/>
        <w:autoSpaceDN/>
        <w:spacing w:after="120"/>
        <w:jc w:val="both"/>
      </w:pPr>
      <w:r w:rsidRPr="00AA7CCD">
        <w:rPr>
          <w:sz w:val="22"/>
          <w:szCs w:val="22"/>
          <w:lang w:val="en-GB" w:eastAsia="en-GB"/>
        </w:rPr>
        <w:t>Signature of the applicant</w:t>
      </w:r>
      <w:r w:rsidRPr="00AA7CCD">
        <w:rPr>
          <w:sz w:val="22"/>
          <w:szCs w:val="22"/>
          <w:lang w:val="en-GB" w:eastAsia="en-GB"/>
        </w:rPr>
        <w:tab/>
      </w:r>
      <w:r w:rsidRPr="00AA7CCD">
        <w:rPr>
          <w:sz w:val="22"/>
          <w:szCs w:val="22"/>
          <w:lang w:val="en-GB" w:eastAsia="en-GB"/>
        </w:rPr>
        <w:tab/>
        <w:t>Signature of co</w:t>
      </w:r>
      <w:r>
        <w:rPr>
          <w:sz w:val="22"/>
          <w:szCs w:val="22"/>
          <w:lang w:val="en-GB" w:eastAsia="en-GB"/>
        </w:rPr>
        <w:t>mpetent authority (see footnote)</w:t>
      </w:r>
    </w:p>
    <w:sectPr w:rsidR="00B7026C" w:rsidSect="003C36A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D17" w:rsidRDefault="00442D17" w:rsidP="00D77F1D">
      <w:r>
        <w:separator/>
      </w:r>
    </w:p>
  </w:endnote>
  <w:endnote w:type="continuationSeparator" w:id="0">
    <w:p w:rsidR="00442D17" w:rsidRDefault="00442D17" w:rsidP="00D7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D17" w:rsidRDefault="00442D17" w:rsidP="00D77F1D">
      <w:r>
        <w:separator/>
      </w:r>
    </w:p>
  </w:footnote>
  <w:footnote w:type="continuationSeparator" w:id="0">
    <w:p w:rsidR="00442D17" w:rsidRDefault="00442D17" w:rsidP="00D77F1D">
      <w:r>
        <w:continuationSeparator/>
      </w:r>
    </w:p>
  </w:footnote>
  <w:footnote w:id="1">
    <w:p w:rsidR="00D77F1D" w:rsidRPr="001C172A" w:rsidRDefault="00D77F1D" w:rsidP="00D77F1D">
      <w:pPr>
        <w:pStyle w:val="FootnoteText"/>
        <w:rPr>
          <w:sz w:val="22"/>
        </w:rPr>
      </w:pPr>
      <w:r w:rsidRPr="001C172A">
        <w:rPr>
          <w:rStyle w:val="FootnoteReference"/>
        </w:rPr>
        <w:footnoteRef/>
      </w:r>
      <w:r>
        <w:t xml:space="preserve"> </w:t>
      </w:r>
      <w:r w:rsidRPr="001C172A">
        <w:rPr>
          <w:spacing w:val="-2"/>
          <w:szCs w:val="22"/>
        </w:rPr>
        <w:t xml:space="preserve">The </w:t>
      </w:r>
      <w:r w:rsidR="00126B2A">
        <w:rPr>
          <w:spacing w:val="-2"/>
          <w:szCs w:val="22"/>
        </w:rPr>
        <w:t xml:space="preserve">declaration of honor </w:t>
      </w:r>
      <w:r w:rsidRPr="001C172A">
        <w:rPr>
          <w:szCs w:val="22"/>
        </w:rPr>
        <w:t xml:space="preserve">statement (affidavit) made by the interested party in front of a judicial or administrative authority, a notary, or a qualified professional body in its country of origin or provenance to demonstrate the compliance with the </w:t>
      </w:r>
      <w:r w:rsidRPr="001C172A">
        <w:rPr>
          <w:spacing w:val="-2"/>
          <w:szCs w:val="22"/>
        </w:rPr>
        <w:t xml:space="preserve">Eligibility </w:t>
      </w:r>
      <w:r w:rsidRPr="001C172A">
        <w:rPr>
          <w:spacing w:val="-8"/>
          <w:szCs w:val="22"/>
        </w:rPr>
        <w:t>Requirement 1.1 reference to Clause ITA 4  and Eligibility Requirements 1.2, 1.3, 1.4, 1.6 and 1.7 reference to Clause ITA 5.3 (a), (b), (c), (e) and (f).</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06FCE"/>
    <w:multiLevelType w:val="hybridMultilevel"/>
    <w:tmpl w:val="28B6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F1D"/>
    <w:rsid w:val="00057D67"/>
    <w:rsid w:val="00126B2A"/>
    <w:rsid w:val="001F3CC2"/>
    <w:rsid w:val="003044E4"/>
    <w:rsid w:val="00366232"/>
    <w:rsid w:val="003C36AF"/>
    <w:rsid w:val="003F1422"/>
    <w:rsid w:val="0042462E"/>
    <w:rsid w:val="00424882"/>
    <w:rsid w:val="00442D17"/>
    <w:rsid w:val="00484417"/>
    <w:rsid w:val="00543756"/>
    <w:rsid w:val="00573A20"/>
    <w:rsid w:val="007D0305"/>
    <w:rsid w:val="00887991"/>
    <w:rsid w:val="00A446A1"/>
    <w:rsid w:val="00B57610"/>
    <w:rsid w:val="00BB6FA4"/>
    <w:rsid w:val="00D77F1D"/>
    <w:rsid w:val="00E04A81"/>
    <w:rsid w:val="00F60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B4CA"/>
  <w15:chartTrackingRefBased/>
  <w15:docId w15:val="{2CD5F256-58A1-2549-8775-70144DD4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F1D"/>
    <w:pPr>
      <w:widowControl w:val="0"/>
      <w:autoSpaceDE w:val="0"/>
      <w:autoSpaceDN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D77F1D"/>
    <w:pPr>
      <w:tabs>
        <w:tab w:val="left" w:leader="dot" w:pos="8748"/>
      </w:tabs>
      <w:spacing w:after="240"/>
      <w:jc w:val="center"/>
    </w:pPr>
    <w:rPr>
      <w:b/>
      <w:sz w:val="36"/>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qFormat/>
    <w:rsid w:val="00D77F1D"/>
    <w:rPr>
      <w:sz w:val="20"/>
      <w:szCs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rsid w:val="00D77F1D"/>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D77F1D"/>
    <w:rPr>
      <w:vertAlign w:val="superscript"/>
    </w:rPr>
  </w:style>
  <w:style w:type="paragraph" w:customStyle="1" w:styleId="Char2">
    <w:name w:val="Char2"/>
    <w:basedOn w:val="Normal"/>
    <w:link w:val="FootnoteReference"/>
    <w:uiPriority w:val="99"/>
    <w:rsid w:val="00D77F1D"/>
    <w:pPr>
      <w:widowControl/>
      <w:autoSpaceDE/>
      <w:autoSpaceDN/>
      <w:spacing w:after="160" w:line="240" w:lineRule="exact"/>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 Piknjač</dc:creator>
  <cp:keywords/>
  <dc:description/>
  <cp:lastModifiedBy>Mercy Mikuwa</cp:lastModifiedBy>
  <cp:revision>4</cp:revision>
  <dcterms:created xsi:type="dcterms:W3CDTF">2021-04-12T09:07:00Z</dcterms:created>
  <dcterms:modified xsi:type="dcterms:W3CDTF">2021-04-12T09:31:00Z</dcterms:modified>
</cp:coreProperties>
</file>